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E3" w:rsidRDefault="00CF50E3" w:rsidP="00CF50E3">
      <w:pPr>
        <w:rPr>
          <w:b/>
          <w:sz w:val="36"/>
          <w:szCs w:val="36"/>
          <w:lang w:val="lv-LV"/>
        </w:rPr>
      </w:pPr>
      <w:bookmarkStart w:id="0" w:name="_GoBack"/>
      <w:bookmarkEnd w:id="0"/>
    </w:p>
    <w:p w:rsidR="00CF50E3" w:rsidRDefault="00CF50E3" w:rsidP="00DF4111">
      <w:pPr>
        <w:jc w:val="center"/>
        <w:rPr>
          <w:b/>
          <w:sz w:val="36"/>
          <w:szCs w:val="36"/>
          <w:lang w:val="lv-LV"/>
        </w:rPr>
      </w:pPr>
    </w:p>
    <w:p w:rsidR="00CF50E3" w:rsidRDefault="00CF50E3" w:rsidP="00DF4111">
      <w:pPr>
        <w:jc w:val="center"/>
        <w:rPr>
          <w:b/>
          <w:sz w:val="36"/>
          <w:szCs w:val="36"/>
          <w:lang w:val="lv-LV"/>
        </w:rPr>
      </w:pPr>
    </w:p>
    <w:p w:rsidR="00CF50E3" w:rsidRDefault="005C7F95" w:rsidP="00DF4111">
      <w:pPr>
        <w:jc w:val="center"/>
        <w:rPr>
          <w:b/>
          <w:sz w:val="36"/>
          <w:szCs w:val="36"/>
          <w:lang w:val="lv-LV"/>
        </w:rPr>
      </w:pPr>
      <w:r w:rsidRPr="00CF50E3">
        <w:rPr>
          <w:b/>
          <w:sz w:val="36"/>
          <w:szCs w:val="36"/>
          <w:lang w:val="lv-LV"/>
        </w:rPr>
        <w:t>Ierobežoti izmantojamo īpaši aizsargājamo zīdītāju</w:t>
      </w:r>
      <w:r w:rsidR="00CF50E3">
        <w:rPr>
          <w:b/>
          <w:sz w:val="36"/>
          <w:szCs w:val="36"/>
          <w:lang w:val="lv-LV"/>
        </w:rPr>
        <w:t xml:space="preserve"> </w:t>
      </w:r>
    </w:p>
    <w:p w:rsidR="00CF50E3" w:rsidRDefault="00EE7A33" w:rsidP="00DF4111">
      <w:pPr>
        <w:jc w:val="center"/>
        <w:rPr>
          <w:b/>
          <w:sz w:val="36"/>
          <w:szCs w:val="36"/>
          <w:lang w:val="lv-LV"/>
        </w:rPr>
      </w:pPr>
      <w:r>
        <w:rPr>
          <w:b/>
          <w:sz w:val="36"/>
          <w:szCs w:val="36"/>
          <w:lang w:val="lv-LV"/>
        </w:rPr>
        <w:t>fona monitoringa metodika</w:t>
      </w:r>
    </w:p>
    <w:p w:rsidR="00CF50E3" w:rsidRPr="00CF50E3" w:rsidRDefault="00CF50E3" w:rsidP="00DF4111">
      <w:pPr>
        <w:jc w:val="center"/>
        <w:rPr>
          <w:b/>
          <w:sz w:val="36"/>
          <w:szCs w:val="36"/>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Default="00CF50E3" w:rsidP="00CF50E3">
      <w:pPr>
        <w:jc w:val="center"/>
        <w:rPr>
          <w:b/>
          <w:sz w:val="28"/>
          <w:szCs w:val="28"/>
          <w:lang w:val="lv-LV"/>
        </w:rPr>
      </w:pPr>
    </w:p>
    <w:p w:rsidR="00CF50E3" w:rsidRPr="009C417E" w:rsidRDefault="00EE7A33" w:rsidP="00CF50E3">
      <w:pPr>
        <w:rPr>
          <w:sz w:val="28"/>
        </w:rPr>
      </w:pPr>
      <w:r>
        <w:rPr>
          <w:sz w:val="28"/>
        </w:rPr>
        <w:t>Sagatavoja</w:t>
      </w:r>
      <w:r w:rsidR="00CF50E3" w:rsidRPr="009C417E">
        <w:rPr>
          <w:sz w:val="28"/>
        </w:rPr>
        <w:t>:</w:t>
      </w:r>
    </w:p>
    <w:p w:rsidR="00CF50E3" w:rsidRPr="00116350" w:rsidRDefault="00CF50E3" w:rsidP="00CF50E3">
      <w:pPr>
        <w:rPr>
          <w:sz w:val="28"/>
        </w:rPr>
      </w:pPr>
      <w:r>
        <w:rPr>
          <w:sz w:val="28"/>
        </w:rPr>
        <w:t>Jānis Ozoliņš</w:t>
      </w:r>
    </w:p>
    <w:p w:rsidR="00CF50E3" w:rsidRDefault="00CF50E3" w:rsidP="00CF50E3">
      <w:pPr>
        <w:rPr>
          <w:b/>
          <w:sz w:val="28"/>
          <w:szCs w:val="28"/>
          <w:lang w:val="lv-LV"/>
        </w:rPr>
      </w:pPr>
    </w:p>
    <w:p w:rsidR="00CF50E3" w:rsidRDefault="00CF50E3" w:rsidP="00CF50E3">
      <w:pPr>
        <w:jc w:val="center"/>
        <w:rPr>
          <w:b/>
          <w:sz w:val="28"/>
          <w:szCs w:val="28"/>
          <w:lang w:val="lv-LV"/>
        </w:rPr>
      </w:pPr>
    </w:p>
    <w:p w:rsidR="00EE7A33" w:rsidRDefault="00EE7A33" w:rsidP="00CF50E3">
      <w:pPr>
        <w:jc w:val="center"/>
        <w:rPr>
          <w:b/>
          <w:sz w:val="28"/>
          <w:szCs w:val="28"/>
          <w:lang w:val="lv-LV"/>
        </w:rPr>
      </w:pPr>
    </w:p>
    <w:p w:rsidR="00EE7A33" w:rsidRDefault="00EE7A33" w:rsidP="00CF50E3">
      <w:pPr>
        <w:jc w:val="center"/>
        <w:rPr>
          <w:b/>
          <w:sz w:val="28"/>
          <w:szCs w:val="28"/>
          <w:lang w:val="lv-LV"/>
        </w:rPr>
      </w:pPr>
    </w:p>
    <w:p w:rsidR="00CF50E3" w:rsidRDefault="00CF50E3" w:rsidP="00CF50E3">
      <w:pPr>
        <w:rPr>
          <w:sz w:val="40"/>
          <w:szCs w:val="40"/>
          <w:lang w:val="lv-LV"/>
        </w:rPr>
      </w:pPr>
    </w:p>
    <w:p w:rsidR="00CF50E3" w:rsidRPr="000C5C7A" w:rsidRDefault="00CF50E3" w:rsidP="00CF50E3">
      <w:pPr>
        <w:jc w:val="center"/>
        <w:rPr>
          <w:sz w:val="40"/>
          <w:szCs w:val="40"/>
          <w:lang w:val="lv-LV"/>
        </w:rPr>
      </w:pPr>
      <w:r w:rsidRPr="000C5C7A">
        <w:rPr>
          <w:sz w:val="40"/>
          <w:szCs w:val="40"/>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3.75pt">
            <v:imagedata r:id="rId5" o:title="2032881_300"/>
          </v:shape>
        </w:pict>
      </w:r>
    </w:p>
    <w:p w:rsidR="00CF50E3" w:rsidRPr="00116350" w:rsidRDefault="00CF50E3" w:rsidP="00CF50E3">
      <w:pPr>
        <w:jc w:val="center"/>
        <w:rPr>
          <w:sz w:val="32"/>
          <w:szCs w:val="32"/>
          <w:lang w:val="lv-LV"/>
        </w:rPr>
      </w:pPr>
      <w:r w:rsidRPr="00116350">
        <w:rPr>
          <w:sz w:val="32"/>
          <w:szCs w:val="32"/>
          <w:lang w:val="lv-LV"/>
        </w:rPr>
        <w:t>Latvijas Dabas fonds</w:t>
      </w:r>
    </w:p>
    <w:p w:rsidR="00CF50E3" w:rsidRPr="00116350" w:rsidRDefault="00CF50E3" w:rsidP="00CF50E3">
      <w:pPr>
        <w:jc w:val="center"/>
        <w:rPr>
          <w:sz w:val="32"/>
          <w:szCs w:val="32"/>
          <w:lang w:val="lv-LV"/>
        </w:rPr>
      </w:pPr>
      <w:r w:rsidRPr="00116350">
        <w:rPr>
          <w:sz w:val="32"/>
          <w:szCs w:val="32"/>
          <w:lang w:val="lv-LV"/>
        </w:rPr>
        <w:t>2013</w:t>
      </w:r>
    </w:p>
    <w:p w:rsidR="00CF50E3" w:rsidRDefault="00CF50E3" w:rsidP="00CF50E3">
      <w:pPr>
        <w:jc w:val="center"/>
        <w:rPr>
          <w:sz w:val="32"/>
          <w:szCs w:val="32"/>
          <w:lang w:val="lv-LV"/>
        </w:rPr>
      </w:pPr>
    </w:p>
    <w:p w:rsidR="00672470" w:rsidRPr="003D3213" w:rsidRDefault="00672470" w:rsidP="00672470">
      <w:pPr>
        <w:jc w:val="center"/>
        <w:rPr>
          <w:sz w:val="32"/>
          <w:szCs w:val="32"/>
          <w:lang w:val="lv-LV"/>
        </w:rPr>
      </w:pPr>
      <w:r w:rsidRPr="002A4B3C">
        <w:rPr>
          <w:i/>
          <w:color w:val="000000"/>
          <w:lang w:val="lv-LV"/>
        </w:rPr>
        <w:t>Saskaņā ar līguma Nr. 7.7/169/2</w:t>
      </w:r>
      <w:r w:rsidR="00EE7A33">
        <w:rPr>
          <w:i/>
          <w:color w:val="000000"/>
          <w:lang w:val="lv-LV"/>
        </w:rPr>
        <w:t>013-P tehnisko specifikāciju</w:t>
      </w:r>
      <w:r w:rsidRPr="002A4B3C">
        <w:rPr>
          <w:i/>
          <w:color w:val="000000"/>
          <w:lang w:val="lv-LV"/>
        </w:rPr>
        <w:t>.</w:t>
      </w:r>
    </w:p>
    <w:p w:rsidR="005C7F95" w:rsidRDefault="002A4B3C" w:rsidP="005C7F95">
      <w:pPr>
        <w:rPr>
          <w:b/>
          <w:u w:val="single"/>
          <w:lang w:val="lv-LV"/>
        </w:rPr>
      </w:pPr>
      <w:r>
        <w:rPr>
          <w:b/>
          <w:u w:val="single"/>
          <w:lang w:val="lv-LV"/>
        </w:rPr>
        <w:br w:type="page"/>
      </w:r>
      <w:r w:rsidR="005C7F95" w:rsidRPr="005C7F95">
        <w:rPr>
          <w:b/>
          <w:u w:val="single"/>
          <w:lang w:val="lv-LV"/>
        </w:rPr>
        <w:lastRenderedPageBreak/>
        <w:t>1. Ievads</w:t>
      </w:r>
    </w:p>
    <w:p w:rsidR="005C7F95" w:rsidRDefault="005C7F95" w:rsidP="005C7F95">
      <w:pPr>
        <w:rPr>
          <w:b/>
          <w:u w:val="single"/>
          <w:lang w:val="lv-LV"/>
        </w:rPr>
      </w:pPr>
    </w:p>
    <w:p w:rsidR="005C7F95" w:rsidRPr="00CF50E3" w:rsidRDefault="00A876BF" w:rsidP="00412ADC">
      <w:pPr>
        <w:jc w:val="both"/>
        <w:rPr>
          <w:lang w:val="lv-LV"/>
        </w:rPr>
      </w:pPr>
      <w:r w:rsidRPr="00CF50E3">
        <w:rPr>
          <w:lang w:val="lv-LV"/>
        </w:rPr>
        <w:t xml:space="preserve">Piecas Eiropas Padomes 1992.gada 21.maija Direktīvas 92/43/EEK par dabisko dzīvotņu, savvaļas faunas un floras aizsardzību (Biotopu direktīva) V pielikuma sugas (baltie zaķi, bebri, vilki, meža caunas un seski) un viena IV pielikuma suga (lūsis) ir Latvijā medījami dzīvnieki. Vilki un lūši </w:t>
      </w:r>
      <w:r w:rsidR="00412ADC" w:rsidRPr="00CF50E3">
        <w:rPr>
          <w:lang w:val="lv-LV"/>
        </w:rPr>
        <w:t>ir limitēti medījamie dzīvnieki, kuriem līdztekus populāciju fona monitoringam nepieciešams arī speciālais monitorings, lai iegūtu datus ikgadējam lielākā pieļaujamā nomedīšanas apjoma (limita) pamatojumam.</w:t>
      </w:r>
      <w:r w:rsidR="009C132D" w:rsidRPr="00CF50E3">
        <w:rPr>
          <w:lang w:val="lv-LV"/>
        </w:rPr>
        <w:t xml:space="preserve"> Populāciju stāvokli vērtē visām Latvijā pastāvīgi dzīvojošām medījamo dzīvnieku sugām, pamatojoties uz Medību likuma 6. un 20. pantu. Šo darbu veic Valsts meža dienests, pamatojoties uz </w:t>
      </w:r>
      <w:r w:rsidR="005241B0" w:rsidRPr="00CF50E3">
        <w:rPr>
          <w:lang w:val="lv-LV"/>
        </w:rPr>
        <w:t xml:space="preserve">Ministru kabineta 03.08.2013. noteikumiem Nr.449 „Valsts meža dienesta nolikums” 4.8. punktu. </w:t>
      </w:r>
    </w:p>
    <w:p w:rsidR="005C7F95" w:rsidRDefault="005C7F95" w:rsidP="005C7F95">
      <w:pPr>
        <w:rPr>
          <w:lang w:val="lv-LV"/>
        </w:rPr>
      </w:pPr>
    </w:p>
    <w:p w:rsidR="00A876BF" w:rsidRPr="00A876BF" w:rsidRDefault="00A876BF" w:rsidP="005C7F95">
      <w:pPr>
        <w:rPr>
          <w:b/>
          <w:u w:val="single"/>
          <w:lang w:val="lv-LV"/>
        </w:rPr>
      </w:pPr>
      <w:r w:rsidRPr="00A876BF">
        <w:rPr>
          <w:b/>
          <w:u w:val="single"/>
          <w:lang w:val="lv-LV"/>
        </w:rPr>
        <w:t>2. Īss sugu raksturojums</w:t>
      </w:r>
    </w:p>
    <w:p w:rsidR="00A876BF" w:rsidRPr="005C7F95" w:rsidRDefault="00A876BF" w:rsidP="005C7F95">
      <w:pPr>
        <w:rPr>
          <w:lang w:val="lv-LV"/>
        </w:rPr>
      </w:pPr>
    </w:p>
    <w:p w:rsidR="009F5B86" w:rsidRDefault="00A876BF" w:rsidP="006E63FE">
      <w:pPr>
        <w:jc w:val="both"/>
        <w:rPr>
          <w:lang w:val="lv-LV"/>
        </w:rPr>
      </w:pPr>
      <w:r w:rsidRPr="00412ADC">
        <w:rPr>
          <w:b/>
          <w:lang w:val="lv-LV"/>
        </w:rPr>
        <w:t>Balto zaķu</w:t>
      </w:r>
      <w:r>
        <w:rPr>
          <w:lang w:val="lv-LV"/>
        </w:rPr>
        <w:t xml:space="preserve"> </w:t>
      </w:r>
      <w:r w:rsidR="00703012" w:rsidRPr="007824BC">
        <w:rPr>
          <w:i/>
          <w:lang w:val="lv-LV"/>
        </w:rPr>
        <w:t xml:space="preserve">Lepus timidus </w:t>
      </w:r>
      <w:r w:rsidR="00703012" w:rsidRPr="007824BC">
        <w:rPr>
          <w:lang w:val="lv-LV"/>
        </w:rPr>
        <w:t>izplat</w:t>
      </w:r>
      <w:r w:rsidR="007824BC">
        <w:rPr>
          <w:lang w:val="lv-LV"/>
        </w:rPr>
        <w:t>ība sa</w:t>
      </w:r>
      <w:r w:rsidR="00703012" w:rsidRPr="007824BC">
        <w:rPr>
          <w:lang w:val="lv-LV"/>
        </w:rPr>
        <w:t xml:space="preserve">istīta ar vienlaidus mežu un augsto purvu platībām. </w:t>
      </w:r>
      <w:r w:rsidR="007824BC">
        <w:rPr>
          <w:lang w:val="lv-LV"/>
        </w:rPr>
        <w:t>Areāls pārklājas ar pelēko zaķi .</w:t>
      </w:r>
      <w:r w:rsidR="007824BC">
        <w:rPr>
          <w:i/>
          <w:lang w:val="lv-LV"/>
        </w:rPr>
        <w:t xml:space="preserve">Lepus europaeus. </w:t>
      </w:r>
      <w:r w:rsidR="00133268" w:rsidRPr="007824BC">
        <w:rPr>
          <w:lang w:val="lv-LV"/>
        </w:rPr>
        <w:t>Novērot vislielākās iespējas</w:t>
      </w:r>
      <w:r w:rsidR="007824BC">
        <w:rPr>
          <w:lang w:val="lv-LV"/>
        </w:rPr>
        <w:t xml:space="preserve"> ir</w:t>
      </w:r>
      <w:r w:rsidR="00133268" w:rsidRPr="007824BC">
        <w:rPr>
          <w:lang w:val="lv-LV"/>
        </w:rPr>
        <w:t xml:space="preserve">, braucot pa meža ceļiem, kā arī medību laikā ar dzinējiem. </w:t>
      </w:r>
      <w:r w:rsidR="007824BC">
        <w:rPr>
          <w:lang w:val="lv-LV"/>
        </w:rPr>
        <w:t>Z</w:t>
      </w:r>
      <w:r w:rsidR="007824BC" w:rsidRPr="007824BC">
        <w:rPr>
          <w:lang w:val="lv-LV"/>
        </w:rPr>
        <w:t xml:space="preserve">iemās </w:t>
      </w:r>
      <w:r w:rsidR="007824BC">
        <w:rPr>
          <w:lang w:val="lv-LV"/>
        </w:rPr>
        <w:t>i</w:t>
      </w:r>
      <w:r w:rsidR="00133268" w:rsidRPr="007824BC">
        <w:rPr>
          <w:lang w:val="lv-LV"/>
        </w:rPr>
        <w:t>lgstoši vienā vietā uztur</w:t>
      </w:r>
      <w:r w:rsidR="007824BC" w:rsidRPr="007824BC">
        <w:rPr>
          <w:lang w:val="lv-LV"/>
        </w:rPr>
        <w:t>a</w:t>
      </w:r>
      <w:r w:rsidR="00133268" w:rsidRPr="007824BC">
        <w:rPr>
          <w:lang w:val="lv-LV"/>
        </w:rPr>
        <w:t>s nogāztu apšu vai cirsmās atstātu apšu zaru tuvumā</w:t>
      </w:r>
      <w:r w:rsidR="007824BC">
        <w:rPr>
          <w:lang w:val="lv-LV"/>
        </w:rPr>
        <w:t>. No pelēkā zaķa ziemā viegli atšķirt pēc baltā apmatojuma. Vasarā atšķirības pazīmes saskatāmas tikai pieredzējušiem speciālistiem. Pieredzējis novērotājs spēj atšķirt arī pēc pakaļkāju nospiedumu formas sniegā, kas baltajiem zaķiem ir apaļ</w:t>
      </w:r>
      <w:r w:rsidR="009F5B86">
        <w:rPr>
          <w:lang w:val="lv-LV"/>
        </w:rPr>
        <w:t>āka</w:t>
      </w:r>
      <w:r w:rsidR="007824BC">
        <w:rPr>
          <w:lang w:val="lv-LV"/>
        </w:rPr>
        <w:t xml:space="preserve"> nekā pelēkajiem. Nomedītos zaķus mednieki uzskaita, diferencējot pa sugām.</w:t>
      </w:r>
      <w:r w:rsidR="00FF2BDE">
        <w:rPr>
          <w:lang w:val="lv-LV"/>
        </w:rPr>
        <w:t xml:space="preserve"> Vairošanās pierādījumi salīdzinoši reti iegūstami.</w:t>
      </w:r>
      <w:r w:rsidR="00ED48A9">
        <w:rPr>
          <w:lang w:val="lv-LV"/>
        </w:rPr>
        <w:t xml:space="preserve"> Populācijas lielums grūti novērtējams.</w:t>
      </w:r>
    </w:p>
    <w:p w:rsidR="009F5B86" w:rsidRDefault="009F5B86" w:rsidP="006E63FE">
      <w:pPr>
        <w:jc w:val="both"/>
        <w:rPr>
          <w:lang w:val="lv-LV"/>
        </w:rPr>
      </w:pPr>
    </w:p>
    <w:p w:rsidR="00572053" w:rsidRDefault="00412ADC" w:rsidP="006E63FE">
      <w:pPr>
        <w:jc w:val="both"/>
        <w:rPr>
          <w:lang w:val="lv-LV"/>
        </w:rPr>
      </w:pPr>
      <w:r w:rsidRPr="00412ADC">
        <w:rPr>
          <w:b/>
          <w:lang w:val="lv-LV"/>
        </w:rPr>
        <w:t>Bebrs</w:t>
      </w:r>
      <w:r>
        <w:rPr>
          <w:lang w:val="lv-LV"/>
        </w:rPr>
        <w:t xml:space="preserve"> </w:t>
      </w:r>
      <w:r w:rsidR="009F5B86">
        <w:rPr>
          <w:i/>
          <w:lang w:val="lv-LV"/>
        </w:rPr>
        <w:t xml:space="preserve">Castor fiber </w:t>
      </w:r>
      <w:r w:rsidR="00F524A9">
        <w:rPr>
          <w:lang w:val="lv-LV"/>
        </w:rPr>
        <w:t>meklējams</w:t>
      </w:r>
      <w:r w:rsidR="00D83677">
        <w:rPr>
          <w:i/>
          <w:lang w:val="lv-LV"/>
        </w:rPr>
        <w:t xml:space="preserve"> </w:t>
      </w:r>
      <w:r w:rsidR="00D83677">
        <w:rPr>
          <w:lang w:val="lv-LV"/>
        </w:rPr>
        <w:t xml:space="preserve">visu veidu ūdenstilpēs. </w:t>
      </w:r>
      <w:r w:rsidR="00417A00">
        <w:rPr>
          <w:lang w:val="lv-LV"/>
        </w:rPr>
        <w:t xml:space="preserve">Viegli konstatējama suga pēc </w:t>
      </w:r>
      <w:r w:rsidR="006E47B0">
        <w:rPr>
          <w:lang w:val="lv-LV"/>
        </w:rPr>
        <w:t xml:space="preserve">raksturīgām </w:t>
      </w:r>
      <w:r w:rsidR="00417A00">
        <w:rPr>
          <w:lang w:val="lv-LV"/>
        </w:rPr>
        <w:t>darbības pazīmēm</w:t>
      </w:r>
      <w:r w:rsidR="006E47B0">
        <w:rPr>
          <w:lang w:val="lv-LV"/>
        </w:rPr>
        <w:t xml:space="preserve"> (kokaugu grauzumi, dambji, konusveida mītnes)</w:t>
      </w:r>
      <w:r w:rsidR="00417A00">
        <w:rPr>
          <w:lang w:val="lv-LV"/>
        </w:rPr>
        <w:t xml:space="preserve">. </w:t>
      </w:r>
      <w:r w:rsidR="007A318D">
        <w:rPr>
          <w:lang w:val="lv-LV"/>
        </w:rPr>
        <w:t>Aktivitātes pazīmes un to daudzums atkarīgs no ūdenstilpes</w:t>
      </w:r>
      <w:r w:rsidR="007824BC">
        <w:rPr>
          <w:lang w:val="lv-LV"/>
        </w:rPr>
        <w:t xml:space="preserve"> </w:t>
      </w:r>
      <w:r w:rsidR="007A318D">
        <w:rPr>
          <w:lang w:val="lv-LV"/>
        </w:rPr>
        <w:t>veida un sezonas.</w:t>
      </w:r>
      <w:r w:rsidR="006E47B0">
        <w:rPr>
          <w:lang w:val="lv-LV"/>
        </w:rPr>
        <w:t xml:space="preserve"> Visizteiktākā darbība</w:t>
      </w:r>
      <w:r w:rsidR="00417A00">
        <w:rPr>
          <w:lang w:val="lv-LV"/>
        </w:rPr>
        <w:t xml:space="preserve"> </w:t>
      </w:r>
      <w:r w:rsidR="006E47B0">
        <w:rPr>
          <w:lang w:val="lv-LV"/>
        </w:rPr>
        <w:t>vērojama</w:t>
      </w:r>
      <w:r w:rsidR="00D5350C">
        <w:rPr>
          <w:lang w:val="lv-LV"/>
        </w:rPr>
        <w:t xml:space="preserve"> </w:t>
      </w:r>
      <w:r w:rsidR="00417A00">
        <w:rPr>
          <w:lang w:val="lv-LV"/>
        </w:rPr>
        <w:t xml:space="preserve">pēc </w:t>
      </w:r>
      <w:r w:rsidR="00D5350C">
        <w:rPr>
          <w:lang w:val="lv-LV"/>
        </w:rPr>
        <w:t>bebru apmešanās seklās un sazarotās ūdenstecēs mežainos apvidos. Īslaicīgi (vienu vai dažus gadus) bebri var dzīvot arī lauksaimniecības ze</w:t>
      </w:r>
      <w:r w:rsidR="006E47B0">
        <w:rPr>
          <w:lang w:val="lv-LV"/>
        </w:rPr>
        <w:t>mju nosusināš</w:t>
      </w:r>
      <w:r w:rsidR="00F524A9">
        <w:rPr>
          <w:lang w:val="lv-LV"/>
        </w:rPr>
        <w:t>anas grāvjos ar minimālu koku vai</w:t>
      </w:r>
      <w:r w:rsidR="006E47B0">
        <w:rPr>
          <w:lang w:val="lv-LV"/>
        </w:rPr>
        <w:t xml:space="preserve"> krūmu apaugumu</w:t>
      </w:r>
      <w:r w:rsidR="00D5350C">
        <w:rPr>
          <w:lang w:val="lv-LV"/>
        </w:rPr>
        <w:t xml:space="preserve">, kā arī </w:t>
      </w:r>
      <w:r w:rsidR="006E47B0">
        <w:rPr>
          <w:lang w:val="lv-LV"/>
        </w:rPr>
        <w:t xml:space="preserve">sūnu </w:t>
      </w:r>
      <w:r w:rsidR="00D5350C">
        <w:rPr>
          <w:lang w:val="lv-LV"/>
        </w:rPr>
        <w:t xml:space="preserve">purvu </w:t>
      </w:r>
      <w:r w:rsidR="006E47B0">
        <w:rPr>
          <w:lang w:val="lv-LV"/>
        </w:rPr>
        <w:t xml:space="preserve">grāvjos un </w:t>
      </w:r>
      <w:r w:rsidR="00D5350C">
        <w:rPr>
          <w:lang w:val="lv-LV"/>
        </w:rPr>
        <w:t>ezeros.</w:t>
      </w:r>
      <w:r w:rsidR="006E47B0">
        <w:rPr>
          <w:lang w:val="lv-LV"/>
        </w:rPr>
        <w:t xml:space="preserve"> </w:t>
      </w:r>
      <w:r w:rsidR="00572053">
        <w:rPr>
          <w:lang w:val="lv-LV"/>
        </w:rPr>
        <w:t>Populācijas lielumu iespējams vērtēt, uzskaitot apmetnes – ģimeņu uzturēšanās vietas. Apmetnes vislabāk identificējamas vasaras beigās un rudenī, īpaši vēlā rudenī, kad bebri mēdz sagatavot zaru barības krājumus ziemai. Kā vairošanās pierādījumus visērtāk izmantot priekšzobu atstātās pēdas uz apgrauztiem zariņiem, ko bebru mazuļi vasaras beigās un rudenī atstāj barošanās vietās.</w:t>
      </w:r>
    </w:p>
    <w:p w:rsidR="00F524A9" w:rsidRDefault="00F524A9" w:rsidP="006E63FE">
      <w:pPr>
        <w:jc w:val="both"/>
        <w:rPr>
          <w:lang w:val="lv-LV"/>
        </w:rPr>
      </w:pPr>
    </w:p>
    <w:p w:rsidR="00796AC3" w:rsidRDefault="00412ADC" w:rsidP="006E63FE">
      <w:pPr>
        <w:jc w:val="both"/>
        <w:rPr>
          <w:lang w:val="lv-LV"/>
        </w:rPr>
      </w:pPr>
      <w:r w:rsidRPr="00412ADC">
        <w:rPr>
          <w:b/>
          <w:lang w:val="lv-LV"/>
        </w:rPr>
        <w:t>Vilks</w:t>
      </w:r>
      <w:r>
        <w:rPr>
          <w:lang w:val="lv-LV"/>
        </w:rPr>
        <w:t xml:space="preserve"> </w:t>
      </w:r>
      <w:r w:rsidR="00F524A9">
        <w:rPr>
          <w:i/>
          <w:lang w:val="lv-LV"/>
        </w:rPr>
        <w:t xml:space="preserve">Canis lupus </w:t>
      </w:r>
      <w:r w:rsidR="00F524A9">
        <w:rPr>
          <w:lang w:val="lv-LV"/>
        </w:rPr>
        <w:t>konservatīvi atgriežas vietās, kur tie dzīvojuši, pat vairāku</w:t>
      </w:r>
      <w:r w:rsidR="005F26C9">
        <w:rPr>
          <w:lang w:val="lv-LV"/>
        </w:rPr>
        <w:t>s</w:t>
      </w:r>
      <w:r w:rsidR="00F524A9">
        <w:rPr>
          <w:lang w:val="lv-LV"/>
        </w:rPr>
        <w:t xml:space="preserve"> gadu</w:t>
      </w:r>
      <w:r w:rsidR="005F26C9">
        <w:rPr>
          <w:lang w:val="lv-LV"/>
        </w:rPr>
        <w:t>s</w:t>
      </w:r>
      <w:r w:rsidR="00F524A9">
        <w:rPr>
          <w:lang w:val="lv-LV"/>
        </w:rPr>
        <w:t xml:space="preserve"> </w:t>
      </w:r>
      <w:r w:rsidR="005F26C9">
        <w:rPr>
          <w:lang w:val="lv-LV"/>
        </w:rPr>
        <w:t xml:space="preserve">pēc </w:t>
      </w:r>
      <w:r w:rsidR="00F524A9">
        <w:rPr>
          <w:lang w:val="lv-LV"/>
        </w:rPr>
        <w:t xml:space="preserve">pilnīgas izmedīšanas. </w:t>
      </w:r>
      <w:r w:rsidR="00786A31">
        <w:rPr>
          <w:lang w:val="lv-LV"/>
        </w:rPr>
        <w:t xml:space="preserve">Mežu un purvu apdzīvotājs. </w:t>
      </w:r>
      <w:r w:rsidR="00D70D8C">
        <w:rPr>
          <w:lang w:val="lv-LV"/>
        </w:rPr>
        <w:t>Netiešus pierād</w:t>
      </w:r>
      <w:r w:rsidR="005D20C5">
        <w:rPr>
          <w:lang w:val="lv-LV"/>
        </w:rPr>
        <w:t xml:space="preserve">ījumus var iegūt, izsekojot pēdas sniegā </w:t>
      </w:r>
      <w:r w:rsidR="00796AC3">
        <w:rPr>
          <w:lang w:val="lv-LV"/>
        </w:rPr>
        <w:t xml:space="preserve">(jāizseko pēc iespējas garāka pēdu virkne, nepaļaujoties uz atsevišķiem pēdu nospiedumiem, kurus pārāk lielas iespējas sajaukt ar suņu pēdām) </w:t>
      </w:r>
      <w:r w:rsidR="005D20C5">
        <w:rPr>
          <w:lang w:val="lv-LV"/>
        </w:rPr>
        <w:t xml:space="preserve">vai meklējot uz meža ceļiem atstātus ekskrementus. </w:t>
      </w:r>
      <w:r w:rsidR="00796AC3">
        <w:rPr>
          <w:lang w:val="lv-LV"/>
        </w:rPr>
        <w:t>Plašāk izmantojami</w:t>
      </w:r>
      <w:r w:rsidR="00B1534B">
        <w:rPr>
          <w:lang w:val="lv-LV"/>
        </w:rPr>
        <w:t xml:space="preserve"> tiešie pierādījumi ir nomedītie dzīvnieki, kas dod iespēju n</w:t>
      </w:r>
      <w:r w:rsidR="00CB4393">
        <w:rPr>
          <w:lang w:val="lv-LV"/>
        </w:rPr>
        <w:t>oteikt arī vilku vecumu un citu informāciju</w:t>
      </w:r>
      <w:r w:rsidR="00B1534B">
        <w:rPr>
          <w:lang w:val="lv-LV"/>
        </w:rPr>
        <w:t xml:space="preserve"> par vairošanos.</w:t>
      </w:r>
    </w:p>
    <w:p w:rsidR="00796AC3" w:rsidRDefault="00796AC3" w:rsidP="006E63FE">
      <w:pPr>
        <w:jc w:val="both"/>
        <w:rPr>
          <w:lang w:val="lv-LV"/>
        </w:rPr>
      </w:pPr>
    </w:p>
    <w:p w:rsidR="003A35DB" w:rsidRDefault="00412ADC" w:rsidP="006E63FE">
      <w:pPr>
        <w:jc w:val="both"/>
        <w:rPr>
          <w:lang w:val="lv-LV"/>
        </w:rPr>
      </w:pPr>
      <w:r w:rsidRPr="00412ADC">
        <w:rPr>
          <w:b/>
          <w:lang w:val="lv-LV"/>
        </w:rPr>
        <w:t>Lūsis</w:t>
      </w:r>
      <w:r>
        <w:rPr>
          <w:lang w:val="lv-LV"/>
        </w:rPr>
        <w:t xml:space="preserve"> </w:t>
      </w:r>
      <w:r w:rsidR="00796AC3">
        <w:rPr>
          <w:i/>
          <w:lang w:val="lv-LV"/>
        </w:rPr>
        <w:t xml:space="preserve">Lynx lynx </w:t>
      </w:r>
      <w:r w:rsidR="00796AC3">
        <w:rPr>
          <w:lang w:val="lv-LV"/>
        </w:rPr>
        <w:t xml:space="preserve">ir suga ar salīdzinoši slēptu dzīvesveidu. </w:t>
      </w:r>
      <w:r w:rsidR="00786A31">
        <w:rPr>
          <w:lang w:val="lv-LV"/>
        </w:rPr>
        <w:t xml:space="preserve">Mežu un purvu apdzīvotājs. </w:t>
      </w:r>
      <w:r w:rsidR="00796AC3">
        <w:rPr>
          <w:lang w:val="lv-LV"/>
        </w:rPr>
        <w:t xml:space="preserve">Pēdu nospiedumi sugai raksturīgi un var kalpot netiešu pierādījumu meklēšanai gan sniegā, gan </w:t>
      </w:r>
      <w:r w:rsidR="00796AC3">
        <w:rPr>
          <w:lang w:val="lv-LV"/>
        </w:rPr>
        <w:lastRenderedPageBreak/>
        <w:t xml:space="preserve">bezsniega periodā uz smilšainiem meža ceļiem. </w:t>
      </w:r>
      <w:r w:rsidR="00D30434">
        <w:rPr>
          <w:lang w:val="lv-LV"/>
        </w:rPr>
        <w:t>T</w:t>
      </w:r>
      <w:r w:rsidR="003A35DB">
        <w:rPr>
          <w:lang w:val="lv-LV"/>
        </w:rPr>
        <w:t>iešie pierādījumi ir nomedīti</w:t>
      </w:r>
      <w:r w:rsidR="00D30434">
        <w:rPr>
          <w:lang w:val="lv-LV"/>
        </w:rPr>
        <w:t xml:space="preserve"> dzīvnieki, kas dod iespēju n</w:t>
      </w:r>
      <w:r w:rsidR="003A35DB">
        <w:rPr>
          <w:lang w:val="lv-LV"/>
        </w:rPr>
        <w:t xml:space="preserve">oteikt arī </w:t>
      </w:r>
      <w:r w:rsidR="00D30434">
        <w:rPr>
          <w:lang w:val="lv-LV"/>
        </w:rPr>
        <w:t xml:space="preserve">vecumu un citu informāciju par </w:t>
      </w:r>
      <w:r w:rsidR="003A35DB">
        <w:rPr>
          <w:lang w:val="lv-LV"/>
        </w:rPr>
        <w:t xml:space="preserve">lūšu </w:t>
      </w:r>
      <w:r w:rsidR="00D30434">
        <w:rPr>
          <w:lang w:val="lv-LV"/>
        </w:rPr>
        <w:t>vairošanos.</w:t>
      </w:r>
    </w:p>
    <w:p w:rsidR="003A35DB" w:rsidRDefault="003A35DB" w:rsidP="006E63FE">
      <w:pPr>
        <w:jc w:val="both"/>
        <w:rPr>
          <w:lang w:val="lv-LV"/>
        </w:rPr>
      </w:pPr>
    </w:p>
    <w:p w:rsidR="00786A31" w:rsidRDefault="007F047F" w:rsidP="006E63FE">
      <w:pPr>
        <w:jc w:val="both"/>
        <w:rPr>
          <w:lang w:val="lv-LV"/>
        </w:rPr>
      </w:pPr>
      <w:r w:rsidRPr="007F047F">
        <w:rPr>
          <w:b/>
          <w:lang w:val="lv-LV"/>
        </w:rPr>
        <w:t>Meža cauna</w:t>
      </w:r>
      <w:r>
        <w:rPr>
          <w:lang w:val="lv-LV"/>
        </w:rPr>
        <w:t xml:space="preserve"> </w:t>
      </w:r>
      <w:r w:rsidR="00771415">
        <w:rPr>
          <w:i/>
          <w:lang w:val="lv-LV"/>
        </w:rPr>
        <w:t xml:space="preserve">Martes martes </w:t>
      </w:r>
      <w:r w:rsidR="00771415">
        <w:rPr>
          <w:lang w:val="lv-LV"/>
        </w:rPr>
        <w:t xml:space="preserve">sastopama </w:t>
      </w:r>
      <w:r w:rsidR="00856FE9">
        <w:rPr>
          <w:lang w:val="lv-LV"/>
        </w:rPr>
        <w:t xml:space="preserve">galvenokārt </w:t>
      </w:r>
      <w:r w:rsidR="00771415">
        <w:rPr>
          <w:lang w:val="lv-LV"/>
        </w:rPr>
        <w:t xml:space="preserve">mežu zemēs, taču </w:t>
      </w:r>
      <w:r w:rsidR="00856FE9">
        <w:rPr>
          <w:lang w:val="lv-LV"/>
        </w:rPr>
        <w:t xml:space="preserve">dažkārt </w:t>
      </w:r>
      <w:r w:rsidR="00771415">
        <w:rPr>
          <w:lang w:val="lv-LV"/>
        </w:rPr>
        <w:t>apmetas arī kokiem bagātās apdzīvotās vietās</w:t>
      </w:r>
      <w:r w:rsidR="002C281C">
        <w:rPr>
          <w:lang w:val="lv-LV"/>
        </w:rPr>
        <w:t xml:space="preserve">, pilsētās un viensētu tuvumā. </w:t>
      </w:r>
      <w:r w:rsidR="00856FE9">
        <w:rPr>
          <w:lang w:val="lv-LV"/>
        </w:rPr>
        <w:t xml:space="preserve">Areāls pārklājas ar akmeņcaunu </w:t>
      </w:r>
      <w:r w:rsidR="00856FE9">
        <w:rPr>
          <w:i/>
          <w:lang w:val="lv-LV"/>
        </w:rPr>
        <w:t xml:space="preserve">Martes foina, </w:t>
      </w:r>
      <w:r w:rsidR="00856FE9">
        <w:rPr>
          <w:lang w:val="lv-LV"/>
        </w:rPr>
        <w:t>kura</w:t>
      </w:r>
      <w:r w:rsidR="00856FE9">
        <w:rPr>
          <w:i/>
          <w:lang w:val="lv-LV"/>
        </w:rPr>
        <w:t xml:space="preserve"> </w:t>
      </w:r>
      <w:r w:rsidR="00856FE9">
        <w:rPr>
          <w:lang w:val="lv-LV"/>
        </w:rPr>
        <w:t xml:space="preserve">pēdējos gados kļūst aizvien biežāka. </w:t>
      </w:r>
      <w:r w:rsidR="005C391C">
        <w:rPr>
          <w:lang w:val="lv-LV"/>
        </w:rPr>
        <w:t xml:space="preserve">Tiešiem pierādījumiem var kalpot nomedītās, kā arī uz autoceļiem sabrauktās caunas. Netiešās pazīmes ir pēdu nospiedumi, kuru virknējuma izsekošanai nepieciešami sniega apstākļi un ekskrementi. Ekskrementu klātbūtne kā sugas pierādījums izmantojama vienīgi dziļos vienlaidus meža masīvos </w:t>
      </w:r>
      <w:r w:rsidR="00FC1C22">
        <w:rPr>
          <w:lang w:val="lv-LV"/>
        </w:rPr>
        <w:t>un sūnu purvos, kas nav akmeņcaunas biotopi. Populācijas lielums grūti novērtējams.</w:t>
      </w:r>
    </w:p>
    <w:p w:rsidR="00786A31" w:rsidRDefault="00786A31" w:rsidP="006E63FE">
      <w:pPr>
        <w:jc w:val="both"/>
        <w:rPr>
          <w:lang w:val="lv-LV"/>
        </w:rPr>
      </w:pPr>
    </w:p>
    <w:p w:rsidR="00EA7825" w:rsidRDefault="007F047F" w:rsidP="006E63FE">
      <w:pPr>
        <w:jc w:val="both"/>
        <w:rPr>
          <w:lang w:val="lv-LV"/>
        </w:rPr>
      </w:pPr>
      <w:r w:rsidRPr="007F047F">
        <w:rPr>
          <w:b/>
          <w:lang w:val="lv-LV"/>
        </w:rPr>
        <w:t>Sesks</w:t>
      </w:r>
      <w:r>
        <w:rPr>
          <w:lang w:val="lv-LV"/>
        </w:rPr>
        <w:t xml:space="preserve"> </w:t>
      </w:r>
      <w:r w:rsidR="00786A31">
        <w:rPr>
          <w:i/>
          <w:lang w:val="lv-LV"/>
        </w:rPr>
        <w:t xml:space="preserve">Mustela putorius </w:t>
      </w:r>
      <w:r w:rsidR="00786A31">
        <w:rPr>
          <w:lang w:val="lv-LV"/>
        </w:rPr>
        <w:t>sastopams ļoti dažādos biotopos, biežāk iekšējo ūdeņu tuvumā.</w:t>
      </w:r>
      <w:r w:rsidR="00170A72">
        <w:rPr>
          <w:lang w:val="lv-LV"/>
        </w:rPr>
        <w:t xml:space="preserve"> Uzturas arī apdzīvotās vietās un pilsētās.</w:t>
      </w:r>
      <w:r w:rsidR="00786A31">
        <w:rPr>
          <w:lang w:val="lv-LV"/>
        </w:rPr>
        <w:t xml:space="preserve"> Par tiešiem pierādījumiem </w:t>
      </w:r>
      <w:r w:rsidR="00EA7825">
        <w:rPr>
          <w:lang w:val="lv-LV"/>
        </w:rPr>
        <w:t xml:space="preserve">var </w:t>
      </w:r>
      <w:r w:rsidR="00786A31">
        <w:rPr>
          <w:lang w:val="lv-LV"/>
        </w:rPr>
        <w:t>kalpo</w:t>
      </w:r>
      <w:r w:rsidR="00EA7825">
        <w:rPr>
          <w:lang w:val="lv-LV"/>
        </w:rPr>
        <w:t>t</w:t>
      </w:r>
      <w:r w:rsidR="00786A31">
        <w:rPr>
          <w:lang w:val="lv-LV"/>
        </w:rPr>
        <w:t xml:space="preserve"> nomedīti un uz autoceļiem sabraukti dzīvnieki</w:t>
      </w:r>
      <w:r w:rsidR="00170A72">
        <w:rPr>
          <w:lang w:val="lv-LV"/>
        </w:rPr>
        <w:t>. Pēdu izsekošana iespējama sniega apstākļos, taču pēc pēdām sugu identificēt spēj tikai pieredzējuši eksperti. Reprodukcijas pierādījumu ieguve un skaita vērtējums problemātisks.</w:t>
      </w:r>
      <w:r w:rsidR="005C391C">
        <w:rPr>
          <w:lang w:val="lv-LV"/>
        </w:rPr>
        <w:t xml:space="preserve"> </w:t>
      </w:r>
    </w:p>
    <w:p w:rsidR="00EA7825" w:rsidRDefault="00EA7825" w:rsidP="00843248">
      <w:pPr>
        <w:rPr>
          <w:lang w:val="lv-LV"/>
        </w:rPr>
      </w:pPr>
    </w:p>
    <w:p w:rsidR="001961CC" w:rsidRDefault="001961CC" w:rsidP="001961CC">
      <w:pPr>
        <w:jc w:val="both"/>
        <w:rPr>
          <w:b/>
          <w:u w:val="single"/>
          <w:lang w:val="lv-LV"/>
        </w:rPr>
      </w:pPr>
      <w:r>
        <w:rPr>
          <w:b/>
          <w:u w:val="single"/>
          <w:lang w:val="lv-LV"/>
        </w:rPr>
        <w:t xml:space="preserve">3. </w:t>
      </w:r>
      <w:r w:rsidRPr="00FF413F">
        <w:rPr>
          <w:b/>
          <w:u w:val="single"/>
          <w:lang w:val="lv-LV"/>
        </w:rPr>
        <w:t>Monitoringa</w:t>
      </w:r>
      <w:r>
        <w:rPr>
          <w:b/>
          <w:u w:val="single"/>
          <w:lang w:val="lv-LV"/>
        </w:rPr>
        <w:t xml:space="preserve"> programmas</w:t>
      </w:r>
      <w:r w:rsidRPr="00FF413F">
        <w:rPr>
          <w:b/>
          <w:u w:val="single"/>
          <w:lang w:val="lv-LV"/>
        </w:rPr>
        <w:t xml:space="preserve"> principi</w:t>
      </w:r>
    </w:p>
    <w:p w:rsidR="0053114E" w:rsidRPr="00D61C58" w:rsidRDefault="0053114E" w:rsidP="0053114E">
      <w:pPr>
        <w:pStyle w:val="BodyTextIndent"/>
        <w:spacing w:after="0"/>
        <w:ind w:left="0" w:firstLine="720"/>
        <w:jc w:val="both"/>
        <w:rPr>
          <w:lang w:val="lv-LV"/>
        </w:rPr>
      </w:pPr>
    </w:p>
    <w:p w:rsidR="001961CC" w:rsidRPr="00D61C58" w:rsidRDefault="001961CC" w:rsidP="001961CC">
      <w:pPr>
        <w:pStyle w:val="BodyTextIndent"/>
        <w:spacing w:after="0"/>
        <w:ind w:left="0" w:firstLine="720"/>
        <w:jc w:val="both"/>
        <w:rPr>
          <w:lang w:val="lv-LV"/>
        </w:rPr>
      </w:pPr>
      <w:r w:rsidRPr="00D61C58">
        <w:rPr>
          <w:lang w:val="lv-LV"/>
        </w:rPr>
        <w:t>Valsts meža dienests veic datu ieguvi un apkopo informāciju par dzīvnieku skaita un izplatības izmaiņu tendencēm (samazināšanās, saglabāšanās, pieaugums) 5x5km kvadrātos, un reizi gadā sagatavo kopējo dzīvnieku skaita novērtējumu visām limitēto medījamo un ierobežoti izmantojamo īpaši aizsargājamo sugu populācijām Latvijā.</w:t>
      </w:r>
      <w:r w:rsidR="00CE51D7">
        <w:rPr>
          <w:lang w:val="lv-LV"/>
        </w:rPr>
        <w:t xml:space="preserve"> Monitoringu veic katru medību sezonu visā Latvijas teritorijā.</w:t>
      </w:r>
    </w:p>
    <w:p w:rsidR="00F1074C" w:rsidRPr="00D61C58" w:rsidRDefault="00F1074C" w:rsidP="00F1074C">
      <w:pPr>
        <w:pStyle w:val="BodyTextIndent"/>
        <w:spacing w:after="0"/>
        <w:ind w:left="0" w:firstLine="720"/>
        <w:jc w:val="both"/>
        <w:rPr>
          <w:lang w:val="lv-LV"/>
        </w:rPr>
      </w:pPr>
      <w:r w:rsidRPr="00D61C58">
        <w:rPr>
          <w:lang w:val="lv-LV"/>
        </w:rPr>
        <w:t>Dzīvnieku izplatību nosaka pēc attiecīgās sugas atrašanās faktiskiem pierādījum</w:t>
      </w:r>
      <w:r w:rsidR="00CE51D7">
        <w:rPr>
          <w:lang w:val="lv-LV"/>
        </w:rPr>
        <w:t xml:space="preserve">iem </w:t>
      </w:r>
      <w:r w:rsidRPr="00D61C58">
        <w:rPr>
          <w:lang w:val="lv-LV"/>
        </w:rPr>
        <w:t>kvadrātos, ko veido kvadrātu tīkls TKS-93 sistēmā, ar vienas malas garumu 5km. Dzīvnieku atrašanās pierādījumi attiecīgajā kvadrātā ir uzskaites veicējam nešaubīgi zināmas to darbības pazīmes (pēdu nospiedumi, ekskrementi, barošanās pazīmes u.c.), dzīvnieku tieši novērojumi, nomedīti vai atrasti miruši indivīdi un dzīvnieku vairošanās pierādījumi (migas, alas, ligzdas, mazuļi kopā ar pieaugu</w:t>
      </w:r>
      <w:r w:rsidR="0053114E" w:rsidRPr="00D61C58">
        <w:rPr>
          <w:lang w:val="lv-LV"/>
        </w:rPr>
        <w:t>šiem dzīvniekiem)</w:t>
      </w:r>
      <w:r w:rsidRPr="00D61C58">
        <w:rPr>
          <w:lang w:val="lv-LV"/>
        </w:rPr>
        <w:t xml:space="preserve">. Katrai sugai vienā kvadrātā medību sezonas laikā nepieciešams konstatēt </w:t>
      </w:r>
      <w:r w:rsidR="00DB727E">
        <w:rPr>
          <w:lang w:val="lv-LV"/>
        </w:rPr>
        <w:t xml:space="preserve">vismaz </w:t>
      </w:r>
      <w:r w:rsidRPr="00D61C58">
        <w:rPr>
          <w:lang w:val="lv-LV"/>
        </w:rPr>
        <w:t>vienu no minētajiem atrašanās pierādījumiem</w:t>
      </w:r>
      <w:r w:rsidR="001961CC">
        <w:rPr>
          <w:lang w:val="lv-LV"/>
        </w:rPr>
        <w:t xml:space="preserve"> (1.</w:t>
      </w:r>
      <w:r w:rsidR="0053114E" w:rsidRPr="00D61C58">
        <w:rPr>
          <w:lang w:val="lv-LV"/>
        </w:rPr>
        <w:t xml:space="preserve"> tabula)</w:t>
      </w:r>
      <w:r w:rsidRPr="00D61C58">
        <w:rPr>
          <w:lang w:val="lv-LV"/>
        </w:rPr>
        <w:t>. Ja suga vienā kvadrātā konstatēta vairākkārt</w:t>
      </w:r>
      <w:r w:rsidR="00A634D9">
        <w:rPr>
          <w:lang w:val="lv-LV"/>
        </w:rPr>
        <w:t>īgi</w:t>
      </w:r>
      <w:r w:rsidRPr="00D61C58">
        <w:rPr>
          <w:lang w:val="lv-LV"/>
        </w:rPr>
        <w:t xml:space="preserve">, </w:t>
      </w:r>
      <w:r w:rsidR="001961CC">
        <w:rPr>
          <w:lang w:val="lv-LV"/>
        </w:rPr>
        <w:t xml:space="preserve">jaunu pazīmi </w:t>
      </w:r>
      <w:r w:rsidRPr="00D61C58">
        <w:rPr>
          <w:lang w:val="lv-LV"/>
        </w:rPr>
        <w:t>fiksē</w:t>
      </w:r>
      <w:r w:rsidR="001961CC">
        <w:rPr>
          <w:lang w:val="lv-LV"/>
        </w:rPr>
        <w:t xml:space="preserve"> tikai tad, ja tā ir pārliecinošāka par iepriekšējo novērojumu</w:t>
      </w:r>
      <w:r w:rsidRPr="00D61C58">
        <w:rPr>
          <w:lang w:val="lv-LV"/>
        </w:rPr>
        <w:t xml:space="preserve"> – piemēram, novērojot gan darbības pēdas, gan pašu dzīvnieku, novērotājs atzīmē tikai tiešo novērojumu.</w:t>
      </w:r>
      <w:r w:rsidR="00DB727E">
        <w:rPr>
          <w:lang w:val="lv-LV"/>
        </w:rPr>
        <w:t xml:space="preserve"> Katras sugas pārliecinošākajai pazīmei nosaka arī atrašanās vietas ģeogrāfiskās koordinātes. Ja visas medību sezonas laikā kāda no sugām nav novērota, attiecīgo rindu datu veidlapā atstāj neaizpildītu.</w:t>
      </w:r>
    </w:p>
    <w:p w:rsidR="00F1074C" w:rsidRPr="00D61C58" w:rsidRDefault="001961CC" w:rsidP="00F1074C">
      <w:pPr>
        <w:pStyle w:val="BodyTextIndent"/>
        <w:spacing w:after="0"/>
        <w:ind w:left="0" w:firstLine="720"/>
        <w:jc w:val="both"/>
        <w:rPr>
          <w:lang w:val="lv-LV"/>
        </w:rPr>
      </w:pPr>
      <w:r>
        <w:rPr>
          <w:lang w:val="lv-LV"/>
        </w:rPr>
        <w:t>K</w:t>
      </w:r>
      <w:r w:rsidR="00F1074C" w:rsidRPr="00D61C58">
        <w:rPr>
          <w:lang w:val="lv-LV"/>
        </w:rPr>
        <w:t>atrā 5x5km kvadrātā papildus fiksē arī uzskaites veicēja novērtējumu par populācijas izmaiņu tendenci salīdzinājumā ar iepriekšējo gadu – skaits pieaudzis, saglabājies vai samazinājies. Tendenci norād</w:t>
      </w:r>
      <w:r>
        <w:rPr>
          <w:lang w:val="lv-LV"/>
        </w:rPr>
        <w:t>īt var tikai tad, ja monitoringa veicējs vienus un tos pašus kvadrātus pārbauda vairākus gadus (vismaz divus) no vietas.</w:t>
      </w:r>
      <w:r w:rsidR="00F1074C" w:rsidRPr="00D61C58">
        <w:rPr>
          <w:lang w:val="lv-LV"/>
        </w:rPr>
        <w:t xml:space="preserve"> </w:t>
      </w:r>
    </w:p>
    <w:p w:rsidR="00F1074C" w:rsidRPr="00D61C58" w:rsidRDefault="00F1074C" w:rsidP="00F1074C">
      <w:pPr>
        <w:pStyle w:val="BodyTextIndent"/>
        <w:spacing w:after="0"/>
        <w:ind w:left="0" w:firstLine="720"/>
        <w:jc w:val="both"/>
        <w:rPr>
          <w:lang w:val="lv-LV"/>
        </w:rPr>
      </w:pPr>
      <w:r w:rsidRPr="00D61C58">
        <w:rPr>
          <w:lang w:val="lv-LV"/>
        </w:rPr>
        <w:t xml:space="preserve">Noslēdzoties medību sezonai, Valsts meža dienests, balstoties uz pierādījumiem par dzīvnieku sastopamību 5x5km kvadrātos, sastāda </w:t>
      </w:r>
      <w:r w:rsidR="00F94409">
        <w:rPr>
          <w:lang w:val="lv-LV"/>
        </w:rPr>
        <w:t xml:space="preserve">sugu </w:t>
      </w:r>
      <w:r w:rsidRPr="00D61C58">
        <w:rPr>
          <w:lang w:val="lv-LV"/>
        </w:rPr>
        <w:t>izplatības kartes. Limitēto medījamo un ierobežoti izmantojamo īpaši aizsar</w:t>
      </w:r>
      <w:r w:rsidR="00F94409">
        <w:rPr>
          <w:lang w:val="lv-LV"/>
        </w:rPr>
        <w:t xml:space="preserve">gājamo dzīvnieku sugām </w:t>
      </w:r>
      <w:r w:rsidRPr="00D61C58">
        <w:rPr>
          <w:lang w:val="lv-LV"/>
        </w:rPr>
        <w:t>sastāda izplatības kartes</w:t>
      </w:r>
      <w:r w:rsidR="00F94409">
        <w:rPr>
          <w:lang w:val="lv-LV"/>
        </w:rPr>
        <w:t xml:space="preserve"> gan ar sastopamības, gan</w:t>
      </w:r>
      <w:r w:rsidRPr="00D61C58">
        <w:rPr>
          <w:lang w:val="lv-LV"/>
        </w:rPr>
        <w:t xml:space="preserve"> arī ar vairošanās pierādījumiem.</w:t>
      </w:r>
    </w:p>
    <w:p w:rsidR="00F80D09" w:rsidRDefault="00F80D09" w:rsidP="00F1074C">
      <w:pPr>
        <w:pStyle w:val="BodyTextIndent"/>
        <w:spacing w:after="0"/>
        <w:ind w:left="0"/>
        <w:jc w:val="both"/>
        <w:rPr>
          <w:color w:val="0000FF"/>
          <w:lang w:val="lv-LV"/>
        </w:rPr>
      </w:pPr>
    </w:p>
    <w:p w:rsidR="00CF50E3" w:rsidRDefault="00CF50E3" w:rsidP="00A634D9">
      <w:pPr>
        <w:pStyle w:val="BodyText2"/>
        <w:tabs>
          <w:tab w:val="num" w:pos="709"/>
        </w:tabs>
        <w:spacing w:line="240" w:lineRule="auto"/>
        <w:jc w:val="both"/>
        <w:rPr>
          <w:b/>
          <w:color w:val="000000"/>
          <w:sz w:val="24"/>
          <w:szCs w:val="24"/>
          <w:u w:val="single"/>
        </w:rPr>
      </w:pPr>
    </w:p>
    <w:p w:rsidR="00A634D9" w:rsidRPr="00A349B1" w:rsidRDefault="00A634D9" w:rsidP="00A634D9">
      <w:pPr>
        <w:pStyle w:val="BodyText2"/>
        <w:tabs>
          <w:tab w:val="num" w:pos="709"/>
        </w:tabs>
        <w:spacing w:line="240" w:lineRule="auto"/>
        <w:jc w:val="both"/>
        <w:rPr>
          <w:b/>
          <w:color w:val="000000"/>
          <w:sz w:val="24"/>
          <w:szCs w:val="24"/>
          <w:u w:val="single"/>
        </w:rPr>
      </w:pPr>
      <w:r>
        <w:rPr>
          <w:b/>
          <w:color w:val="000000"/>
          <w:sz w:val="24"/>
          <w:szCs w:val="24"/>
          <w:u w:val="single"/>
        </w:rPr>
        <w:lastRenderedPageBreak/>
        <w:t xml:space="preserve">4. </w:t>
      </w:r>
      <w:r w:rsidRPr="00A349B1">
        <w:rPr>
          <w:b/>
          <w:color w:val="000000"/>
          <w:sz w:val="24"/>
          <w:szCs w:val="24"/>
          <w:u w:val="single"/>
        </w:rPr>
        <w:t>Prasības monitoringa veicējiem</w:t>
      </w:r>
    </w:p>
    <w:p w:rsidR="00F80D09" w:rsidRDefault="00F80D09" w:rsidP="00F1074C">
      <w:pPr>
        <w:pStyle w:val="BodyTextIndent"/>
        <w:spacing w:after="0"/>
        <w:ind w:left="0"/>
        <w:jc w:val="both"/>
        <w:rPr>
          <w:color w:val="0000FF"/>
          <w:lang w:val="lv-LV"/>
        </w:rPr>
      </w:pPr>
    </w:p>
    <w:p w:rsidR="00A634D9" w:rsidRDefault="00A634D9" w:rsidP="00F1074C">
      <w:pPr>
        <w:pStyle w:val="BodyTextIndent"/>
        <w:spacing w:after="0"/>
        <w:ind w:left="0"/>
        <w:jc w:val="both"/>
        <w:rPr>
          <w:lang w:val="lv-LV"/>
        </w:rPr>
      </w:pPr>
      <w:r w:rsidRPr="00A634D9">
        <w:rPr>
          <w:lang w:val="lv-LV"/>
        </w:rPr>
        <w:t>Medījamo dzīvnieku</w:t>
      </w:r>
      <w:r>
        <w:rPr>
          <w:lang w:val="lv-LV"/>
        </w:rPr>
        <w:t xml:space="preserve"> monitoringa lauka darbus veic VMD mežziņi un</w:t>
      </w:r>
      <w:r w:rsidR="00DB727E">
        <w:rPr>
          <w:lang w:val="lv-LV"/>
        </w:rPr>
        <w:t xml:space="preserve"> vecākie mežziņi savās apgaitās</w:t>
      </w:r>
      <w:r w:rsidR="00DB727E" w:rsidRPr="00DB727E">
        <w:rPr>
          <w:lang w:val="lv-LV"/>
        </w:rPr>
        <w:t xml:space="preserve"> </w:t>
      </w:r>
      <w:r w:rsidR="00DB727E">
        <w:rPr>
          <w:lang w:val="lv-LV"/>
        </w:rPr>
        <w:t>- no 1.aprīļa līdz nākamā gada 31.martam.</w:t>
      </w:r>
      <w:r>
        <w:rPr>
          <w:lang w:val="lv-LV"/>
        </w:rPr>
        <w:t xml:space="preserve"> </w:t>
      </w:r>
      <w:r w:rsidR="001F073E">
        <w:rPr>
          <w:lang w:val="lv-LV"/>
        </w:rPr>
        <w:t>Katrai apgaitai ir noteikti kvad</w:t>
      </w:r>
      <w:r w:rsidR="00DB727E">
        <w:rPr>
          <w:lang w:val="lv-LV"/>
        </w:rPr>
        <w:t xml:space="preserve">rāti, kas medību sezonas laikā </w:t>
      </w:r>
      <w:r w:rsidR="001F073E">
        <w:rPr>
          <w:lang w:val="lv-LV"/>
        </w:rPr>
        <w:t xml:space="preserve">jāapseko dabā, neatkarīgi no tā, vai tur atrodas meža zeme, vai citi zemes lietojumu veidi. </w:t>
      </w:r>
      <w:r w:rsidR="00DB727E">
        <w:rPr>
          <w:lang w:val="lv-LV"/>
        </w:rPr>
        <w:t>Mežziņiem jābūt apmācītiem dzīvnieku pazīmju meklēšanā, sugu pazīšanā un datu veidlapu aizpildīšanā.</w:t>
      </w:r>
      <w:r w:rsidR="00404ACA">
        <w:rPr>
          <w:lang w:val="lv-LV"/>
        </w:rPr>
        <w:t xml:space="preserve"> </w:t>
      </w:r>
      <w:r w:rsidR="00CE7370">
        <w:rPr>
          <w:lang w:val="lv-LV"/>
        </w:rPr>
        <w:t xml:space="preserve">Monitoringa metodika ir sagatavota darba instrukcijas veidā. </w:t>
      </w:r>
      <w:r w:rsidR="00404ACA">
        <w:rPr>
          <w:lang w:val="lv-LV"/>
        </w:rPr>
        <w:t>Mež</w:t>
      </w:r>
      <w:r w:rsidR="00CE7370">
        <w:rPr>
          <w:lang w:val="lv-LV"/>
        </w:rPr>
        <w:t>ziņu rīcībā ir autotransports,</w:t>
      </w:r>
      <w:r w:rsidR="00404ACA">
        <w:rPr>
          <w:lang w:val="lv-LV"/>
        </w:rPr>
        <w:t xml:space="preserve"> </w:t>
      </w:r>
      <w:r w:rsidR="00CE7370">
        <w:rPr>
          <w:lang w:val="lv-LV"/>
        </w:rPr>
        <w:t>GPS uztvērēji un digitālās kartes.</w:t>
      </w:r>
      <w:r w:rsidR="00B04689">
        <w:rPr>
          <w:lang w:val="lv-LV"/>
        </w:rPr>
        <w:t xml:space="preserve"> </w:t>
      </w:r>
      <w:r w:rsidRPr="00A634D9">
        <w:rPr>
          <w:lang w:val="lv-LV"/>
        </w:rPr>
        <w:t xml:space="preserve"> </w:t>
      </w:r>
    </w:p>
    <w:p w:rsidR="00404ACA" w:rsidRPr="00A634D9" w:rsidRDefault="00404ACA" w:rsidP="00F1074C">
      <w:pPr>
        <w:pStyle w:val="BodyTextIndent"/>
        <w:spacing w:after="0"/>
        <w:ind w:left="0"/>
        <w:jc w:val="both"/>
        <w:rPr>
          <w:lang w:val="lv-LV"/>
        </w:rPr>
      </w:pPr>
    </w:p>
    <w:p w:rsidR="00F80D09" w:rsidRDefault="00F80D09" w:rsidP="00F1074C">
      <w:pPr>
        <w:pStyle w:val="BodyTextIndent"/>
        <w:spacing w:after="0"/>
        <w:ind w:left="0"/>
        <w:jc w:val="both"/>
        <w:rPr>
          <w:color w:val="0000FF"/>
          <w:lang w:val="lv-LV"/>
        </w:rPr>
      </w:pPr>
    </w:p>
    <w:p w:rsidR="00F80D09" w:rsidRDefault="00F80D09" w:rsidP="00F1074C">
      <w:pPr>
        <w:pStyle w:val="BodyTextIndent"/>
        <w:spacing w:after="0"/>
        <w:ind w:left="0"/>
        <w:jc w:val="both"/>
        <w:rPr>
          <w:color w:val="0000FF"/>
          <w:lang w:val="lv-LV"/>
        </w:rPr>
      </w:pPr>
    </w:p>
    <w:p w:rsidR="00F80D09" w:rsidRDefault="00F80D09" w:rsidP="00F1074C">
      <w:pPr>
        <w:pStyle w:val="BodyTextIndent"/>
        <w:spacing w:after="0"/>
        <w:ind w:left="0"/>
        <w:jc w:val="both"/>
        <w:rPr>
          <w:color w:val="0000FF"/>
          <w:lang w:val="lv-LV"/>
        </w:rPr>
      </w:pPr>
    </w:p>
    <w:p w:rsidR="00F80D09" w:rsidRDefault="00F80D09" w:rsidP="00F1074C">
      <w:pPr>
        <w:pStyle w:val="BodyTextIndent"/>
        <w:spacing w:after="0"/>
        <w:ind w:left="0"/>
        <w:jc w:val="both"/>
        <w:rPr>
          <w:color w:val="0000FF"/>
          <w:lang w:val="lv-LV"/>
        </w:rPr>
      </w:pPr>
    </w:p>
    <w:p w:rsidR="00F80D09" w:rsidRDefault="00F80D09" w:rsidP="00F1074C">
      <w:pPr>
        <w:pStyle w:val="BodyTextIndent"/>
        <w:spacing w:after="0"/>
        <w:ind w:left="0"/>
        <w:jc w:val="both"/>
        <w:rPr>
          <w:color w:val="0000FF"/>
          <w:lang w:val="lv-LV"/>
        </w:rPr>
      </w:pPr>
    </w:p>
    <w:p w:rsidR="00F80D09" w:rsidRDefault="00F80D09" w:rsidP="00F1074C">
      <w:pPr>
        <w:pStyle w:val="BodyTextIndent"/>
        <w:spacing w:after="0"/>
        <w:ind w:left="0"/>
        <w:jc w:val="both"/>
        <w:rPr>
          <w:color w:val="0000FF"/>
          <w:lang w:val="lv-LV"/>
        </w:rPr>
      </w:pPr>
    </w:p>
    <w:p w:rsidR="00F80D09" w:rsidRDefault="00F80D09" w:rsidP="00F1074C">
      <w:pPr>
        <w:pStyle w:val="BodyTextIndent"/>
        <w:spacing w:after="0"/>
        <w:ind w:left="0"/>
        <w:jc w:val="both"/>
        <w:rPr>
          <w:color w:val="0000FF"/>
          <w:lang w:val="lv-LV"/>
        </w:rPr>
      </w:pPr>
    </w:p>
    <w:p w:rsidR="00F80D09" w:rsidRDefault="00F80D09" w:rsidP="00F1074C">
      <w:pPr>
        <w:pStyle w:val="BodyTextIndent"/>
        <w:spacing w:after="0"/>
        <w:ind w:left="0"/>
        <w:jc w:val="both"/>
        <w:rPr>
          <w:color w:val="0000FF"/>
          <w:lang w:val="lv-LV"/>
        </w:rPr>
      </w:pPr>
    </w:p>
    <w:p w:rsidR="00F80D09" w:rsidRPr="00D61C58" w:rsidRDefault="00F80D09" w:rsidP="00404F00">
      <w:pPr>
        <w:pStyle w:val="BodyTextIndent"/>
        <w:numPr>
          <w:ilvl w:val="1"/>
          <w:numId w:val="8"/>
        </w:numPr>
        <w:spacing w:after="0"/>
        <w:rPr>
          <w:lang w:val="lv-LV"/>
        </w:rPr>
        <w:sectPr w:rsidR="00F80D09" w:rsidRPr="00D61C58" w:rsidSect="00D0223B">
          <w:pgSz w:w="12240" w:h="15840"/>
          <w:pgMar w:top="1440" w:right="1800" w:bottom="1440" w:left="1260" w:header="708" w:footer="708" w:gutter="0"/>
          <w:cols w:space="708"/>
          <w:docGrid w:linePitch="360"/>
        </w:sectPr>
      </w:pPr>
    </w:p>
    <w:p w:rsidR="00F80D09" w:rsidRPr="001961CC" w:rsidRDefault="001961CC" w:rsidP="00404F00">
      <w:pPr>
        <w:pStyle w:val="BodyTextIndent"/>
        <w:spacing w:after="0"/>
        <w:ind w:left="0"/>
        <w:jc w:val="right"/>
        <w:rPr>
          <w:lang w:val="lv-LV"/>
        </w:rPr>
      </w:pPr>
      <w:r w:rsidRPr="001961CC">
        <w:rPr>
          <w:lang w:val="lv-LV"/>
        </w:rPr>
        <w:lastRenderedPageBreak/>
        <w:t xml:space="preserve">1. </w:t>
      </w:r>
      <w:r w:rsidR="00404F00" w:rsidRPr="001961CC">
        <w:rPr>
          <w:lang w:val="lv-LV"/>
        </w:rPr>
        <w:t>tabula</w:t>
      </w:r>
    </w:p>
    <w:p w:rsidR="00F80D09" w:rsidRPr="001961CC" w:rsidRDefault="00F80D09" w:rsidP="00F80D09">
      <w:pPr>
        <w:pStyle w:val="BodyTextIndent"/>
        <w:spacing w:after="0"/>
        <w:ind w:left="0"/>
        <w:jc w:val="both"/>
        <w:rPr>
          <w:lang w:val="lv-LV"/>
        </w:rPr>
      </w:pPr>
    </w:p>
    <w:tbl>
      <w:tblPr>
        <w:tblW w:w="13873" w:type="dxa"/>
        <w:tblInd w:w="93" w:type="dxa"/>
        <w:tblLook w:val="0000" w:firstRow="0" w:lastRow="0" w:firstColumn="0" w:lastColumn="0" w:noHBand="0" w:noVBand="0"/>
      </w:tblPr>
      <w:tblGrid>
        <w:gridCol w:w="2155"/>
        <w:gridCol w:w="578"/>
        <w:gridCol w:w="566"/>
        <w:gridCol w:w="585"/>
        <w:gridCol w:w="578"/>
        <w:gridCol w:w="566"/>
        <w:gridCol w:w="485"/>
        <w:gridCol w:w="473"/>
        <w:gridCol w:w="461"/>
        <w:gridCol w:w="594"/>
        <w:gridCol w:w="461"/>
        <w:gridCol w:w="473"/>
        <w:gridCol w:w="461"/>
        <w:gridCol w:w="610"/>
        <w:gridCol w:w="473"/>
        <w:gridCol w:w="473"/>
        <w:gridCol w:w="461"/>
        <w:gridCol w:w="594"/>
        <w:gridCol w:w="461"/>
        <w:gridCol w:w="473"/>
        <w:gridCol w:w="473"/>
        <w:gridCol w:w="473"/>
        <w:gridCol w:w="473"/>
        <w:gridCol w:w="473"/>
      </w:tblGrid>
      <w:tr w:rsidR="00F80D09" w:rsidRPr="001961CC" w:rsidTr="00404F00">
        <w:trPr>
          <w:trHeight w:val="315"/>
        </w:trPr>
        <w:tc>
          <w:tcPr>
            <w:tcW w:w="13873" w:type="dxa"/>
            <w:gridSpan w:val="24"/>
            <w:tcBorders>
              <w:top w:val="nil"/>
              <w:left w:val="nil"/>
              <w:bottom w:val="nil"/>
              <w:right w:val="nil"/>
            </w:tcBorders>
            <w:shd w:val="clear" w:color="auto" w:fill="auto"/>
            <w:noWrap/>
            <w:vAlign w:val="bottom"/>
          </w:tcPr>
          <w:p w:rsidR="00F80D09" w:rsidRPr="001961CC" w:rsidRDefault="00404F00" w:rsidP="00F80D09">
            <w:pPr>
              <w:jc w:val="center"/>
              <w:rPr>
                <w:rFonts w:ascii="Arial" w:hAnsi="Arial" w:cs="Arial"/>
                <w:b/>
                <w:bCs/>
                <w:lang w:val="lv-LV"/>
              </w:rPr>
            </w:pPr>
            <w:r w:rsidRPr="001961CC">
              <w:rPr>
                <w:rFonts w:ascii="Arial" w:hAnsi="Arial" w:cs="Arial"/>
                <w:b/>
                <w:bCs/>
                <w:lang w:val="lv-LV"/>
              </w:rPr>
              <w:t>Reģistrs ierobežoti izmantojamo sugu</w:t>
            </w:r>
            <w:r w:rsidR="00F80D09" w:rsidRPr="001961CC">
              <w:rPr>
                <w:rFonts w:ascii="Arial" w:hAnsi="Arial" w:cs="Arial"/>
                <w:b/>
                <w:bCs/>
                <w:lang w:val="lv-LV"/>
              </w:rPr>
              <w:t xml:space="preserve"> izplatības un populāciju stāvokļa novērtēšanai 20....... /20.......... medību sezonā</w:t>
            </w:r>
          </w:p>
        </w:tc>
      </w:tr>
      <w:tr w:rsidR="00F80D09" w:rsidRPr="0096274D" w:rsidTr="00404F00">
        <w:trPr>
          <w:trHeight w:val="255"/>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1961CC">
              <w:rPr>
                <w:rFonts w:ascii="Arial" w:hAnsi="Arial" w:cs="Arial"/>
                <w:sz w:val="20"/>
                <w:szCs w:val="20"/>
                <w:lang w:val="lv-LV"/>
              </w:rPr>
              <w:t>K</w:t>
            </w:r>
            <w:r w:rsidRPr="0096274D">
              <w:rPr>
                <w:rFonts w:ascii="Arial" w:hAnsi="Arial" w:cs="Arial"/>
                <w:sz w:val="20"/>
                <w:szCs w:val="20"/>
              </w:rPr>
              <w:t>VADRĀTA NR.</w:t>
            </w:r>
            <w:r w:rsidR="00404F00" w:rsidRPr="0096274D">
              <w:rPr>
                <w:rFonts w:ascii="Arial" w:hAnsi="Arial" w:cs="Arial"/>
                <w:sz w:val="20"/>
                <w:szCs w:val="20"/>
              </w:rPr>
              <w:t>:</w:t>
            </w:r>
          </w:p>
        </w:tc>
        <w:tc>
          <w:tcPr>
            <w:tcW w:w="1144" w:type="dxa"/>
            <w:gridSpan w:val="2"/>
            <w:tcBorders>
              <w:top w:val="single" w:sz="4" w:space="0" w:color="auto"/>
              <w:left w:val="nil"/>
              <w:bottom w:val="single" w:sz="4" w:space="0" w:color="auto"/>
              <w:right w:val="single" w:sz="4" w:space="0" w:color="000000"/>
            </w:tcBorders>
            <w:shd w:val="clear" w:color="auto" w:fill="auto"/>
            <w:noWrap/>
            <w:vAlign w:val="bottom"/>
          </w:tcPr>
          <w:p w:rsidR="00F80D09" w:rsidRPr="0096274D" w:rsidRDefault="00F80D09" w:rsidP="00F80D09">
            <w:pPr>
              <w:jc w:val="center"/>
              <w:rPr>
                <w:rFonts w:ascii="Arial" w:hAnsi="Arial" w:cs="Arial"/>
                <w:sz w:val="20"/>
                <w:szCs w:val="20"/>
              </w:rPr>
            </w:pPr>
            <w:r w:rsidRPr="0096274D">
              <w:rPr>
                <w:rFonts w:ascii="Arial" w:hAnsi="Arial" w:cs="Arial"/>
                <w:sz w:val="20"/>
                <w:szCs w:val="20"/>
              </w:rPr>
              <w:t> </w:t>
            </w:r>
          </w:p>
        </w:tc>
        <w:tc>
          <w:tcPr>
            <w:tcW w:w="3742" w:type="dxa"/>
            <w:gridSpan w:val="7"/>
            <w:tcBorders>
              <w:top w:val="single" w:sz="4" w:space="0" w:color="auto"/>
              <w:left w:val="single" w:sz="4" w:space="0" w:color="auto"/>
              <w:bottom w:val="single" w:sz="4" w:space="0" w:color="auto"/>
              <w:right w:val="nil"/>
            </w:tcBorders>
            <w:shd w:val="clear" w:color="auto" w:fill="auto"/>
            <w:noWrap/>
            <w:vAlign w:val="bottom"/>
          </w:tcPr>
          <w:p w:rsidR="00F80D09" w:rsidRPr="0096274D" w:rsidRDefault="00404F00" w:rsidP="00F80D09">
            <w:pPr>
              <w:rPr>
                <w:rFonts w:ascii="Arial" w:hAnsi="Arial" w:cs="Arial"/>
              </w:rPr>
            </w:pPr>
            <w:r w:rsidRPr="0096274D">
              <w:rPr>
                <w:rFonts w:ascii="Arial" w:hAnsi="Arial" w:cs="Arial"/>
              </w:rPr>
              <w:t>PAGASTS:</w:t>
            </w:r>
          </w:p>
        </w:tc>
        <w:tc>
          <w:tcPr>
            <w:tcW w:w="461" w:type="dxa"/>
            <w:tcBorders>
              <w:top w:val="single" w:sz="4" w:space="0" w:color="auto"/>
              <w:left w:val="nil"/>
              <w:bottom w:val="single" w:sz="4" w:space="0" w:color="auto"/>
              <w:right w:val="nil"/>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single" w:sz="4" w:space="0" w:color="auto"/>
              <w:left w:val="nil"/>
              <w:bottom w:val="single" w:sz="4" w:space="0" w:color="auto"/>
              <w:right w:val="nil"/>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437" w:type="dxa"/>
            <w:gridSpan w:val="11"/>
            <w:tcBorders>
              <w:top w:val="single" w:sz="4" w:space="0" w:color="auto"/>
              <w:left w:val="nil"/>
              <w:bottom w:val="single" w:sz="4" w:space="0" w:color="auto"/>
              <w:right w:val="single" w:sz="4" w:space="0" w:color="000000"/>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MEDĪBU IECIRKNIS</w:t>
            </w:r>
            <w:r w:rsidR="00404F00" w:rsidRPr="0096274D">
              <w:rPr>
                <w:rFonts w:ascii="Arial" w:hAnsi="Arial" w:cs="Arial"/>
                <w:sz w:val="20"/>
                <w:szCs w:val="20"/>
              </w:rPr>
              <w:t>:</w:t>
            </w:r>
          </w:p>
        </w:tc>
      </w:tr>
      <w:tr w:rsidR="00F80D09" w:rsidRPr="0096274D" w:rsidTr="00404F00">
        <w:trPr>
          <w:trHeight w:val="315"/>
        </w:trPr>
        <w:tc>
          <w:tcPr>
            <w:tcW w:w="2155" w:type="dxa"/>
            <w:vMerge w:val="restart"/>
            <w:tcBorders>
              <w:top w:val="nil"/>
              <w:left w:val="single" w:sz="4" w:space="0" w:color="auto"/>
              <w:bottom w:val="single" w:sz="4" w:space="0" w:color="000000"/>
              <w:right w:val="single" w:sz="4" w:space="0" w:color="auto"/>
            </w:tcBorders>
            <w:shd w:val="clear" w:color="auto" w:fill="auto"/>
            <w:noWrap/>
            <w:vAlign w:val="center"/>
          </w:tcPr>
          <w:p w:rsidR="00F80D09" w:rsidRPr="0096274D" w:rsidRDefault="00F80D09" w:rsidP="00F80D09">
            <w:pPr>
              <w:jc w:val="center"/>
              <w:rPr>
                <w:rFonts w:ascii="Arial" w:hAnsi="Arial" w:cs="Arial"/>
              </w:rPr>
            </w:pPr>
            <w:r w:rsidRPr="0096274D">
              <w:rPr>
                <w:rFonts w:ascii="Arial" w:hAnsi="Arial" w:cs="Arial"/>
              </w:rPr>
              <w:t>Sugas</w:t>
            </w:r>
          </w:p>
        </w:tc>
        <w:tc>
          <w:tcPr>
            <w:tcW w:w="1729" w:type="dxa"/>
            <w:gridSpan w:val="3"/>
            <w:tcBorders>
              <w:top w:val="single" w:sz="4" w:space="0" w:color="auto"/>
              <w:left w:val="nil"/>
              <w:bottom w:val="single" w:sz="4" w:space="0" w:color="auto"/>
              <w:right w:val="single" w:sz="4" w:space="0" w:color="000000"/>
            </w:tcBorders>
            <w:shd w:val="clear" w:color="auto" w:fill="auto"/>
            <w:noWrap/>
            <w:vAlign w:val="bottom"/>
          </w:tcPr>
          <w:p w:rsidR="00F80D09" w:rsidRPr="0096274D" w:rsidRDefault="00404F00" w:rsidP="00F80D09">
            <w:pPr>
              <w:jc w:val="center"/>
              <w:rPr>
                <w:rFonts w:ascii="Arial" w:hAnsi="Arial" w:cs="Arial"/>
                <w:b/>
                <w:bCs/>
                <w:sz w:val="20"/>
                <w:szCs w:val="20"/>
              </w:rPr>
            </w:pPr>
            <w:r w:rsidRPr="0096274D">
              <w:rPr>
                <w:rFonts w:ascii="Arial" w:hAnsi="Arial" w:cs="Arial"/>
                <w:b/>
                <w:bCs/>
                <w:sz w:val="20"/>
                <w:szCs w:val="20"/>
              </w:rPr>
              <w:t>Ģeogr. p</w:t>
            </w:r>
            <w:r w:rsidR="00F80D09" w:rsidRPr="0096274D">
              <w:rPr>
                <w:rFonts w:ascii="Arial" w:hAnsi="Arial" w:cs="Arial"/>
                <w:b/>
                <w:bCs/>
                <w:sz w:val="20"/>
                <w:szCs w:val="20"/>
              </w:rPr>
              <w:t>latums</w:t>
            </w:r>
          </w:p>
        </w:tc>
        <w:tc>
          <w:tcPr>
            <w:tcW w:w="1629" w:type="dxa"/>
            <w:gridSpan w:val="3"/>
            <w:tcBorders>
              <w:top w:val="nil"/>
              <w:left w:val="nil"/>
              <w:bottom w:val="nil"/>
              <w:right w:val="nil"/>
            </w:tcBorders>
            <w:shd w:val="clear" w:color="auto" w:fill="auto"/>
            <w:noWrap/>
            <w:vAlign w:val="bottom"/>
          </w:tcPr>
          <w:p w:rsidR="00F80D09" w:rsidRPr="0096274D" w:rsidRDefault="00404F00" w:rsidP="00F80D09">
            <w:pPr>
              <w:jc w:val="center"/>
              <w:rPr>
                <w:rFonts w:ascii="Arial" w:hAnsi="Arial" w:cs="Arial"/>
                <w:b/>
                <w:bCs/>
                <w:sz w:val="20"/>
                <w:szCs w:val="20"/>
              </w:rPr>
            </w:pPr>
            <w:r w:rsidRPr="0096274D">
              <w:rPr>
                <w:rFonts w:ascii="Arial" w:hAnsi="Arial" w:cs="Arial"/>
                <w:b/>
                <w:bCs/>
                <w:sz w:val="20"/>
                <w:szCs w:val="20"/>
              </w:rPr>
              <w:t>Ģeogr.g</w:t>
            </w:r>
            <w:r w:rsidR="00F80D09" w:rsidRPr="0096274D">
              <w:rPr>
                <w:rFonts w:ascii="Arial" w:hAnsi="Arial" w:cs="Arial"/>
                <w:b/>
                <w:bCs/>
                <w:sz w:val="20"/>
                <w:szCs w:val="20"/>
              </w:rPr>
              <w:t>arums</w:t>
            </w:r>
          </w:p>
        </w:tc>
        <w:tc>
          <w:tcPr>
            <w:tcW w:w="473"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pēdas vai ekskrementi</w:t>
            </w:r>
          </w:p>
        </w:tc>
        <w:tc>
          <w:tcPr>
            <w:tcW w:w="1516" w:type="dxa"/>
            <w:gridSpan w:val="3"/>
            <w:tcBorders>
              <w:top w:val="nil"/>
              <w:left w:val="nil"/>
              <w:bottom w:val="nil"/>
              <w:right w:val="nil"/>
            </w:tcBorders>
            <w:shd w:val="clear" w:color="auto" w:fill="auto"/>
            <w:noWrap/>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Datums</w:t>
            </w:r>
          </w:p>
        </w:tc>
        <w:tc>
          <w:tcPr>
            <w:tcW w:w="473"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novērots tieši</w:t>
            </w:r>
          </w:p>
        </w:tc>
        <w:tc>
          <w:tcPr>
            <w:tcW w:w="1544" w:type="dxa"/>
            <w:gridSpan w:val="3"/>
            <w:tcBorders>
              <w:top w:val="nil"/>
              <w:left w:val="nil"/>
              <w:bottom w:val="nil"/>
              <w:right w:val="nil"/>
            </w:tcBorders>
            <w:shd w:val="clear" w:color="auto" w:fill="auto"/>
            <w:noWrap/>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Datums</w:t>
            </w:r>
          </w:p>
        </w:tc>
        <w:tc>
          <w:tcPr>
            <w:tcW w:w="473"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vairošanās</w:t>
            </w:r>
          </w:p>
        </w:tc>
        <w:tc>
          <w:tcPr>
            <w:tcW w:w="1516" w:type="dxa"/>
            <w:gridSpan w:val="3"/>
            <w:tcBorders>
              <w:top w:val="single" w:sz="4" w:space="0" w:color="auto"/>
              <w:left w:val="nil"/>
              <w:bottom w:val="single" w:sz="4" w:space="0" w:color="auto"/>
              <w:right w:val="single" w:sz="4" w:space="0" w:color="000000"/>
            </w:tcBorders>
            <w:shd w:val="clear" w:color="auto" w:fill="auto"/>
            <w:noWrap/>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Datums</w:t>
            </w:r>
          </w:p>
        </w:tc>
        <w:tc>
          <w:tcPr>
            <w:tcW w:w="473"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nomedīts vai atrasts</w:t>
            </w:r>
          </w:p>
        </w:tc>
        <w:tc>
          <w:tcPr>
            <w:tcW w:w="1892" w:type="dxa"/>
            <w:gridSpan w:val="4"/>
            <w:tcBorders>
              <w:top w:val="single" w:sz="4" w:space="0" w:color="auto"/>
              <w:left w:val="nil"/>
              <w:bottom w:val="single" w:sz="4" w:space="0" w:color="auto"/>
              <w:right w:val="single" w:sz="4" w:space="0" w:color="000000"/>
            </w:tcBorders>
            <w:shd w:val="clear" w:color="auto" w:fill="auto"/>
            <w:noWrap/>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Skaita tendence</w:t>
            </w:r>
          </w:p>
        </w:tc>
      </w:tr>
      <w:tr w:rsidR="00F80D09" w:rsidRPr="0096274D" w:rsidTr="00404F00">
        <w:trPr>
          <w:trHeight w:val="2400"/>
        </w:trPr>
        <w:tc>
          <w:tcPr>
            <w:tcW w:w="2155" w:type="dxa"/>
            <w:vMerge/>
            <w:tcBorders>
              <w:top w:val="nil"/>
              <w:left w:val="single" w:sz="4" w:space="0" w:color="auto"/>
              <w:bottom w:val="single" w:sz="4" w:space="0" w:color="000000"/>
              <w:right w:val="single" w:sz="4" w:space="0" w:color="auto"/>
            </w:tcBorders>
            <w:vAlign w:val="center"/>
          </w:tcPr>
          <w:p w:rsidR="00F80D09" w:rsidRPr="0096274D" w:rsidRDefault="00F80D09" w:rsidP="00F80D09">
            <w:pPr>
              <w:rPr>
                <w:rFonts w:ascii="Arial" w:hAnsi="Arial" w:cs="Arial"/>
                <w:sz w:val="20"/>
                <w:szCs w:val="20"/>
              </w:rPr>
            </w:pP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 xml:space="preserve">    º</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 xml:space="preserve">    ΄</w:t>
            </w:r>
          </w:p>
        </w:tc>
        <w:tc>
          <w:tcPr>
            <w:tcW w:w="5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 xml:space="preserve">   ΄΄</w:t>
            </w:r>
          </w:p>
        </w:tc>
        <w:tc>
          <w:tcPr>
            <w:tcW w:w="578" w:type="dxa"/>
            <w:tcBorders>
              <w:top w:val="single" w:sz="4" w:space="0" w:color="auto"/>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 xml:space="preserve">    º</w:t>
            </w: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 xml:space="preserve">    ΄</w:t>
            </w:r>
          </w:p>
        </w:tc>
        <w:tc>
          <w:tcPr>
            <w:tcW w:w="485" w:type="dxa"/>
            <w:tcBorders>
              <w:top w:val="single" w:sz="4" w:space="0" w:color="auto"/>
              <w:left w:val="nil"/>
              <w:bottom w:val="single" w:sz="4" w:space="0" w:color="auto"/>
              <w:right w:val="nil"/>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 xml:space="preserve">  ΄΄</w:t>
            </w:r>
          </w:p>
        </w:tc>
        <w:tc>
          <w:tcPr>
            <w:tcW w:w="473" w:type="dxa"/>
            <w:vMerge/>
            <w:tcBorders>
              <w:top w:val="nil"/>
              <w:left w:val="single" w:sz="4" w:space="0" w:color="auto"/>
              <w:bottom w:val="single" w:sz="4" w:space="0" w:color="000000"/>
              <w:right w:val="single" w:sz="4" w:space="0" w:color="auto"/>
            </w:tcBorders>
            <w:vAlign w:val="center"/>
          </w:tcPr>
          <w:p w:rsidR="00F80D09" w:rsidRPr="0096274D" w:rsidRDefault="00F80D09" w:rsidP="00F80D09">
            <w:pPr>
              <w:rPr>
                <w:rFonts w:ascii="Arial" w:hAnsi="Arial" w:cs="Arial"/>
                <w:b/>
                <w:bCs/>
                <w:sz w:val="20"/>
                <w:szCs w:val="20"/>
              </w:rPr>
            </w:pP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gg</w:t>
            </w:r>
          </w:p>
        </w:tc>
        <w:tc>
          <w:tcPr>
            <w:tcW w:w="594" w:type="dxa"/>
            <w:tcBorders>
              <w:top w:val="single" w:sz="4" w:space="0" w:color="auto"/>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mm</w:t>
            </w:r>
          </w:p>
        </w:tc>
        <w:tc>
          <w:tcPr>
            <w:tcW w:w="461" w:type="dxa"/>
            <w:tcBorders>
              <w:top w:val="single" w:sz="4" w:space="0" w:color="auto"/>
              <w:left w:val="nil"/>
              <w:bottom w:val="single" w:sz="4" w:space="0" w:color="auto"/>
              <w:right w:val="nil"/>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dd</w:t>
            </w:r>
          </w:p>
        </w:tc>
        <w:tc>
          <w:tcPr>
            <w:tcW w:w="473" w:type="dxa"/>
            <w:vMerge/>
            <w:tcBorders>
              <w:top w:val="nil"/>
              <w:left w:val="single" w:sz="4" w:space="0" w:color="auto"/>
              <w:bottom w:val="single" w:sz="4" w:space="0" w:color="000000"/>
              <w:right w:val="single" w:sz="4" w:space="0" w:color="auto"/>
            </w:tcBorders>
            <w:vAlign w:val="center"/>
          </w:tcPr>
          <w:p w:rsidR="00F80D09" w:rsidRPr="0096274D" w:rsidRDefault="00F80D09" w:rsidP="00F80D09">
            <w:pPr>
              <w:rPr>
                <w:rFonts w:ascii="Arial" w:hAnsi="Arial" w:cs="Arial"/>
                <w:b/>
                <w:bCs/>
                <w:sz w:val="20"/>
                <w:szCs w:val="20"/>
              </w:rPr>
            </w:pP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gg</w:t>
            </w:r>
          </w:p>
        </w:tc>
        <w:tc>
          <w:tcPr>
            <w:tcW w:w="610" w:type="dxa"/>
            <w:tcBorders>
              <w:top w:val="single" w:sz="4" w:space="0" w:color="auto"/>
              <w:left w:val="nil"/>
              <w:bottom w:val="single" w:sz="4" w:space="0" w:color="auto"/>
              <w:right w:val="single" w:sz="4" w:space="0" w:color="auto"/>
            </w:tcBorders>
            <w:shd w:val="clear" w:color="auto" w:fill="auto"/>
            <w:noWrap/>
            <w:vAlign w:val="bottom"/>
          </w:tcPr>
          <w:p w:rsidR="00F80D09" w:rsidRPr="0096274D" w:rsidRDefault="00CE7370" w:rsidP="00F80D09">
            <w:pPr>
              <w:rPr>
                <w:rFonts w:ascii="Arial" w:hAnsi="Arial" w:cs="Arial"/>
                <w:b/>
                <w:bCs/>
                <w:sz w:val="20"/>
                <w:szCs w:val="20"/>
              </w:rPr>
            </w:pPr>
            <w:r w:rsidRPr="0096274D">
              <w:rPr>
                <w:rFonts w:ascii="Arial" w:hAnsi="Arial" w:cs="Arial"/>
                <w:b/>
                <w:bCs/>
                <w:sz w:val="20"/>
                <w:szCs w:val="20"/>
              </w:rPr>
              <w:t>M</w:t>
            </w:r>
            <w:r w:rsidR="00F80D09" w:rsidRPr="0096274D">
              <w:rPr>
                <w:rFonts w:ascii="Arial" w:hAnsi="Arial" w:cs="Arial"/>
                <w:b/>
                <w:bCs/>
                <w:sz w:val="20"/>
                <w:szCs w:val="20"/>
              </w:rPr>
              <w:t>m</w:t>
            </w:r>
          </w:p>
        </w:tc>
        <w:tc>
          <w:tcPr>
            <w:tcW w:w="473" w:type="dxa"/>
            <w:tcBorders>
              <w:top w:val="single" w:sz="4" w:space="0" w:color="auto"/>
              <w:left w:val="nil"/>
              <w:bottom w:val="single" w:sz="4" w:space="0" w:color="auto"/>
              <w:right w:val="nil"/>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dd</w:t>
            </w:r>
          </w:p>
        </w:tc>
        <w:tc>
          <w:tcPr>
            <w:tcW w:w="473" w:type="dxa"/>
            <w:vMerge/>
            <w:tcBorders>
              <w:top w:val="nil"/>
              <w:left w:val="single" w:sz="4" w:space="0" w:color="auto"/>
              <w:bottom w:val="single" w:sz="4" w:space="0" w:color="000000"/>
              <w:right w:val="single" w:sz="4" w:space="0" w:color="auto"/>
            </w:tcBorders>
            <w:vAlign w:val="center"/>
          </w:tcPr>
          <w:p w:rsidR="00F80D09" w:rsidRPr="0096274D" w:rsidRDefault="00F80D09" w:rsidP="00F80D09">
            <w:pPr>
              <w:rPr>
                <w:rFonts w:ascii="Arial" w:hAnsi="Arial" w:cs="Arial"/>
                <w:b/>
                <w:bCs/>
                <w:sz w:val="20"/>
                <w:szCs w:val="20"/>
              </w:rPr>
            </w:pP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gg</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mm</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b/>
                <w:bCs/>
                <w:sz w:val="20"/>
                <w:szCs w:val="20"/>
              </w:rPr>
            </w:pPr>
            <w:r w:rsidRPr="0096274D">
              <w:rPr>
                <w:rFonts w:ascii="Arial" w:hAnsi="Arial" w:cs="Arial"/>
                <w:b/>
                <w:bCs/>
                <w:sz w:val="20"/>
                <w:szCs w:val="20"/>
              </w:rPr>
              <w:t>dd</w:t>
            </w:r>
          </w:p>
        </w:tc>
        <w:tc>
          <w:tcPr>
            <w:tcW w:w="473" w:type="dxa"/>
            <w:vMerge/>
            <w:tcBorders>
              <w:top w:val="nil"/>
              <w:left w:val="single" w:sz="4" w:space="0" w:color="auto"/>
              <w:bottom w:val="single" w:sz="4" w:space="0" w:color="000000"/>
              <w:right w:val="single" w:sz="4" w:space="0" w:color="auto"/>
            </w:tcBorders>
            <w:vAlign w:val="center"/>
          </w:tcPr>
          <w:p w:rsidR="00F80D09" w:rsidRPr="0096274D" w:rsidRDefault="00F80D09" w:rsidP="00F80D09">
            <w:pPr>
              <w:rPr>
                <w:rFonts w:ascii="Arial" w:hAnsi="Arial" w:cs="Arial"/>
                <w:b/>
                <w:bCs/>
                <w:sz w:val="20"/>
                <w:szCs w:val="20"/>
              </w:rPr>
            </w:pPr>
          </w:p>
        </w:tc>
        <w:tc>
          <w:tcPr>
            <w:tcW w:w="473" w:type="dxa"/>
            <w:tcBorders>
              <w:top w:val="nil"/>
              <w:left w:val="nil"/>
              <w:bottom w:val="single" w:sz="4" w:space="0" w:color="auto"/>
              <w:right w:val="single" w:sz="4" w:space="0" w:color="auto"/>
            </w:tcBorders>
            <w:shd w:val="clear" w:color="auto" w:fill="auto"/>
            <w:noWrap/>
            <w:textDirection w:val="btLr"/>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uz 1000ha 20</w:t>
            </w:r>
            <w:r w:rsidRPr="0096274D">
              <w:rPr>
                <w:rFonts w:ascii="Arial" w:hAnsi="Arial" w:cs="Arial"/>
                <w:b/>
                <w:bCs/>
                <w:sz w:val="20"/>
                <w:szCs w:val="20"/>
                <w:u w:val="single"/>
              </w:rPr>
              <w:t xml:space="preserve">      </w:t>
            </w:r>
            <w:r w:rsidRPr="0096274D">
              <w:rPr>
                <w:rFonts w:ascii="Arial" w:hAnsi="Arial" w:cs="Arial"/>
                <w:b/>
                <w:bCs/>
                <w:sz w:val="20"/>
                <w:szCs w:val="20"/>
              </w:rPr>
              <w:t>.g.</w:t>
            </w:r>
          </w:p>
        </w:tc>
        <w:tc>
          <w:tcPr>
            <w:tcW w:w="473" w:type="dxa"/>
            <w:tcBorders>
              <w:top w:val="nil"/>
              <w:left w:val="nil"/>
              <w:bottom w:val="single" w:sz="4" w:space="0" w:color="auto"/>
              <w:right w:val="single" w:sz="4" w:space="0" w:color="auto"/>
            </w:tcBorders>
            <w:shd w:val="clear" w:color="auto" w:fill="auto"/>
            <w:noWrap/>
            <w:textDirection w:val="btLr"/>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nemainīgs</w:t>
            </w:r>
          </w:p>
        </w:tc>
        <w:tc>
          <w:tcPr>
            <w:tcW w:w="473" w:type="dxa"/>
            <w:tcBorders>
              <w:top w:val="nil"/>
              <w:left w:val="nil"/>
              <w:bottom w:val="single" w:sz="4" w:space="0" w:color="auto"/>
              <w:right w:val="single" w:sz="4" w:space="0" w:color="auto"/>
            </w:tcBorders>
            <w:shd w:val="clear" w:color="auto" w:fill="auto"/>
            <w:noWrap/>
            <w:textDirection w:val="btLr"/>
            <w:vAlign w:val="bottom"/>
          </w:tcPr>
          <w:p w:rsidR="00F80D09" w:rsidRPr="0096274D" w:rsidRDefault="00F80D09" w:rsidP="00F80D09">
            <w:pPr>
              <w:jc w:val="center"/>
              <w:rPr>
                <w:rFonts w:ascii="Arial" w:hAnsi="Arial" w:cs="Arial"/>
                <w:b/>
                <w:bCs/>
                <w:sz w:val="20"/>
                <w:szCs w:val="20"/>
              </w:rPr>
            </w:pPr>
            <w:r w:rsidRPr="0096274D">
              <w:rPr>
                <w:rFonts w:ascii="Arial" w:hAnsi="Arial" w:cs="Arial"/>
                <w:b/>
                <w:bCs/>
                <w:sz w:val="20"/>
                <w:szCs w:val="20"/>
              </w:rPr>
              <w:t>pieaudzis</w:t>
            </w:r>
          </w:p>
        </w:tc>
        <w:tc>
          <w:tcPr>
            <w:tcW w:w="473" w:type="dxa"/>
            <w:tcBorders>
              <w:top w:val="nil"/>
              <w:left w:val="nil"/>
              <w:bottom w:val="single" w:sz="4" w:space="0" w:color="auto"/>
              <w:right w:val="single" w:sz="4" w:space="0" w:color="auto"/>
            </w:tcBorders>
            <w:shd w:val="clear" w:color="auto" w:fill="auto"/>
            <w:noWrap/>
            <w:textDirection w:val="btLr"/>
            <w:vAlign w:val="bottom"/>
          </w:tcPr>
          <w:p w:rsidR="00F80D09" w:rsidRPr="0096274D" w:rsidRDefault="00B04689" w:rsidP="00F80D09">
            <w:pPr>
              <w:jc w:val="center"/>
              <w:rPr>
                <w:rFonts w:ascii="Arial" w:hAnsi="Arial" w:cs="Arial"/>
                <w:b/>
                <w:bCs/>
                <w:sz w:val="20"/>
                <w:szCs w:val="20"/>
              </w:rPr>
            </w:pPr>
            <w:r>
              <w:rPr>
                <w:rFonts w:ascii="Arial" w:hAnsi="Arial" w:cs="Arial"/>
                <w:b/>
                <w:bCs/>
                <w:sz w:val="20"/>
                <w:szCs w:val="20"/>
              </w:rPr>
              <w:t>s</w:t>
            </w:r>
            <w:r w:rsidR="00F80D09" w:rsidRPr="0096274D">
              <w:rPr>
                <w:rFonts w:ascii="Arial" w:hAnsi="Arial" w:cs="Arial"/>
                <w:b/>
                <w:bCs/>
                <w:sz w:val="20"/>
                <w:szCs w:val="20"/>
              </w:rPr>
              <w:t>amazinājies</w:t>
            </w:r>
          </w:p>
        </w:tc>
      </w:tr>
      <w:tr w:rsidR="00F80D09" w:rsidRPr="0096274D" w:rsidTr="00404F00">
        <w:trPr>
          <w:trHeight w:val="285"/>
        </w:trPr>
        <w:tc>
          <w:tcPr>
            <w:tcW w:w="2155" w:type="dxa"/>
            <w:tcBorders>
              <w:top w:val="nil"/>
              <w:left w:val="single" w:sz="4" w:space="0" w:color="auto"/>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i/>
                <w:iCs/>
                <w:sz w:val="20"/>
                <w:szCs w:val="20"/>
              </w:rPr>
            </w:pPr>
            <w:r w:rsidRPr="0096274D">
              <w:rPr>
                <w:rFonts w:ascii="Arial" w:hAnsi="Arial" w:cs="Arial"/>
                <w:i/>
                <w:iCs/>
                <w:sz w:val="20"/>
                <w:szCs w:val="20"/>
              </w:rPr>
              <w:t>Baltie zaķi</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610"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r>
      <w:tr w:rsidR="00F80D09" w:rsidRPr="0096274D" w:rsidTr="00404F00">
        <w:trPr>
          <w:trHeight w:val="285"/>
        </w:trPr>
        <w:tc>
          <w:tcPr>
            <w:tcW w:w="2155" w:type="dxa"/>
            <w:tcBorders>
              <w:top w:val="nil"/>
              <w:left w:val="single" w:sz="4" w:space="0" w:color="auto"/>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i/>
                <w:iCs/>
                <w:sz w:val="20"/>
                <w:szCs w:val="20"/>
              </w:rPr>
            </w:pPr>
            <w:r w:rsidRPr="0096274D">
              <w:rPr>
                <w:rFonts w:ascii="Arial" w:hAnsi="Arial" w:cs="Arial"/>
                <w:i/>
                <w:iCs/>
                <w:sz w:val="20"/>
                <w:szCs w:val="20"/>
              </w:rPr>
              <w:t>Bebri</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610"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r>
      <w:tr w:rsidR="00F80D09" w:rsidRPr="0096274D" w:rsidTr="00404F00">
        <w:trPr>
          <w:trHeight w:val="285"/>
        </w:trPr>
        <w:tc>
          <w:tcPr>
            <w:tcW w:w="2155" w:type="dxa"/>
            <w:tcBorders>
              <w:top w:val="nil"/>
              <w:left w:val="single" w:sz="4" w:space="0" w:color="auto"/>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i/>
                <w:iCs/>
                <w:sz w:val="20"/>
                <w:szCs w:val="20"/>
              </w:rPr>
            </w:pPr>
            <w:r w:rsidRPr="0096274D">
              <w:rPr>
                <w:rFonts w:ascii="Arial" w:hAnsi="Arial" w:cs="Arial"/>
                <w:i/>
                <w:iCs/>
                <w:sz w:val="20"/>
                <w:szCs w:val="20"/>
              </w:rPr>
              <w:t>Lūši</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610"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r>
      <w:tr w:rsidR="00F80D09" w:rsidRPr="0096274D" w:rsidTr="00404F00">
        <w:trPr>
          <w:trHeight w:val="285"/>
        </w:trPr>
        <w:tc>
          <w:tcPr>
            <w:tcW w:w="2155" w:type="dxa"/>
            <w:tcBorders>
              <w:top w:val="nil"/>
              <w:left w:val="single" w:sz="4" w:space="0" w:color="auto"/>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i/>
                <w:iCs/>
                <w:sz w:val="20"/>
                <w:szCs w:val="20"/>
              </w:rPr>
            </w:pPr>
            <w:r w:rsidRPr="0096274D">
              <w:rPr>
                <w:rFonts w:ascii="Arial" w:hAnsi="Arial" w:cs="Arial"/>
                <w:i/>
                <w:iCs/>
                <w:sz w:val="20"/>
                <w:szCs w:val="20"/>
              </w:rPr>
              <w:t>Vilki</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610"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r>
      <w:tr w:rsidR="00F80D09" w:rsidRPr="0096274D" w:rsidTr="00404F00">
        <w:trPr>
          <w:trHeight w:val="285"/>
        </w:trPr>
        <w:tc>
          <w:tcPr>
            <w:tcW w:w="2155" w:type="dxa"/>
            <w:tcBorders>
              <w:top w:val="nil"/>
              <w:left w:val="single" w:sz="4" w:space="0" w:color="auto"/>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i/>
                <w:iCs/>
                <w:sz w:val="20"/>
                <w:szCs w:val="20"/>
              </w:rPr>
            </w:pPr>
            <w:r w:rsidRPr="0096274D">
              <w:rPr>
                <w:rFonts w:ascii="Arial" w:hAnsi="Arial" w:cs="Arial"/>
                <w:i/>
                <w:iCs/>
                <w:sz w:val="20"/>
                <w:szCs w:val="20"/>
              </w:rPr>
              <w:t>Meža caunas</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610"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r>
      <w:tr w:rsidR="00F80D09" w:rsidRPr="0096274D" w:rsidTr="00404F00">
        <w:trPr>
          <w:trHeight w:val="285"/>
        </w:trPr>
        <w:tc>
          <w:tcPr>
            <w:tcW w:w="2155" w:type="dxa"/>
            <w:tcBorders>
              <w:top w:val="nil"/>
              <w:left w:val="single" w:sz="4" w:space="0" w:color="auto"/>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i/>
                <w:iCs/>
                <w:sz w:val="20"/>
                <w:szCs w:val="20"/>
              </w:rPr>
            </w:pPr>
            <w:r w:rsidRPr="0096274D">
              <w:rPr>
                <w:rFonts w:ascii="Arial" w:hAnsi="Arial" w:cs="Arial"/>
                <w:i/>
                <w:iCs/>
                <w:sz w:val="20"/>
                <w:szCs w:val="20"/>
              </w:rPr>
              <w:t>Seski</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78"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66"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85"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610"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594"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61"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 </w:t>
            </w:r>
          </w:p>
        </w:tc>
      </w:tr>
      <w:tr w:rsidR="00F80D09" w:rsidRPr="0096274D" w:rsidTr="00404F00">
        <w:trPr>
          <w:trHeight w:val="255"/>
        </w:trPr>
        <w:tc>
          <w:tcPr>
            <w:tcW w:w="2155"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2307" w:type="dxa"/>
            <w:gridSpan w:val="4"/>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VIRSMEŽNIECĪBA</w:t>
            </w:r>
          </w:p>
        </w:tc>
        <w:tc>
          <w:tcPr>
            <w:tcW w:w="566"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85"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292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F80D09" w:rsidRPr="0096274D" w:rsidRDefault="00F80D09" w:rsidP="00F80D09">
            <w:pPr>
              <w:jc w:val="center"/>
              <w:rPr>
                <w:rFonts w:ascii="Arial" w:hAnsi="Arial" w:cs="Arial"/>
                <w:sz w:val="20"/>
                <w:szCs w:val="20"/>
              </w:rPr>
            </w:pPr>
            <w:r w:rsidRPr="0096274D">
              <w:rPr>
                <w:rFonts w:ascii="Arial" w:hAnsi="Arial" w:cs="Arial"/>
                <w:sz w:val="20"/>
                <w:szCs w:val="20"/>
              </w:rPr>
              <w:t> </w:t>
            </w:r>
          </w:p>
        </w:tc>
        <w:tc>
          <w:tcPr>
            <w:tcW w:w="1083" w:type="dxa"/>
            <w:gridSpan w:val="2"/>
            <w:tcBorders>
              <w:top w:val="single" w:sz="4" w:space="0" w:color="auto"/>
              <w:left w:val="nil"/>
              <w:bottom w:val="single" w:sz="4" w:space="0" w:color="auto"/>
              <w:right w:val="single" w:sz="4" w:space="0" w:color="000000"/>
            </w:tcBorders>
            <w:shd w:val="clear" w:color="auto" w:fill="auto"/>
            <w:noWrap/>
            <w:vAlign w:val="bottom"/>
          </w:tcPr>
          <w:p w:rsidR="00F80D09" w:rsidRPr="0096274D" w:rsidRDefault="00F80D09" w:rsidP="00F80D09">
            <w:pPr>
              <w:rPr>
                <w:rFonts w:ascii="Arial" w:hAnsi="Arial" w:cs="Arial"/>
                <w:sz w:val="20"/>
                <w:szCs w:val="20"/>
              </w:rPr>
            </w:pPr>
            <w:r w:rsidRPr="0096274D">
              <w:rPr>
                <w:rFonts w:ascii="Arial" w:hAnsi="Arial" w:cs="Arial"/>
                <w:sz w:val="20"/>
                <w:szCs w:val="20"/>
              </w:rPr>
              <w:t>APGAITA</w:t>
            </w:r>
          </w:p>
        </w:tc>
        <w:tc>
          <w:tcPr>
            <w:tcW w:w="1989" w:type="dxa"/>
            <w:gridSpan w:val="4"/>
            <w:tcBorders>
              <w:top w:val="single" w:sz="4" w:space="0" w:color="auto"/>
              <w:left w:val="nil"/>
              <w:bottom w:val="single" w:sz="4" w:space="0" w:color="auto"/>
              <w:right w:val="single" w:sz="4" w:space="0" w:color="000000"/>
            </w:tcBorders>
            <w:shd w:val="clear" w:color="auto" w:fill="auto"/>
            <w:noWrap/>
            <w:vAlign w:val="bottom"/>
          </w:tcPr>
          <w:p w:rsidR="00F80D09" w:rsidRPr="0096274D" w:rsidRDefault="00F80D09" w:rsidP="00F80D09">
            <w:pPr>
              <w:jc w:val="center"/>
              <w:rPr>
                <w:rFonts w:ascii="Arial" w:hAnsi="Arial" w:cs="Arial"/>
                <w:sz w:val="20"/>
                <w:szCs w:val="20"/>
              </w:rPr>
            </w:pPr>
            <w:r w:rsidRPr="0096274D">
              <w:rPr>
                <w:rFonts w:ascii="Arial" w:hAnsi="Arial" w:cs="Arial"/>
                <w:sz w:val="20"/>
                <w:szCs w:val="20"/>
              </w:rPr>
              <w:t> </w:t>
            </w:r>
          </w:p>
        </w:tc>
        <w:tc>
          <w:tcPr>
            <w:tcW w:w="2365" w:type="dxa"/>
            <w:gridSpan w:val="5"/>
            <w:tcBorders>
              <w:top w:val="single" w:sz="4" w:space="0" w:color="auto"/>
              <w:left w:val="nil"/>
              <w:bottom w:val="single" w:sz="4" w:space="0" w:color="auto"/>
              <w:right w:val="single" w:sz="4" w:space="0" w:color="000000"/>
            </w:tcBorders>
            <w:shd w:val="clear" w:color="auto" w:fill="auto"/>
            <w:noWrap/>
            <w:vAlign w:val="bottom"/>
          </w:tcPr>
          <w:p w:rsidR="00F80D09" w:rsidRPr="0096274D" w:rsidRDefault="00F80D09" w:rsidP="00F80D09">
            <w:pPr>
              <w:jc w:val="center"/>
              <w:rPr>
                <w:rFonts w:ascii="Arial" w:hAnsi="Arial" w:cs="Arial"/>
                <w:sz w:val="20"/>
                <w:szCs w:val="20"/>
              </w:rPr>
            </w:pPr>
            <w:r w:rsidRPr="0096274D">
              <w:rPr>
                <w:rFonts w:ascii="Arial" w:hAnsi="Arial" w:cs="Arial"/>
                <w:sz w:val="20"/>
                <w:szCs w:val="20"/>
              </w:rPr>
              <w:t> </w:t>
            </w:r>
          </w:p>
        </w:tc>
      </w:tr>
      <w:tr w:rsidR="00F80D09" w:rsidRPr="0096274D" w:rsidTr="00404F00">
        <w:trPr>
          <w:trHeight w:val="255"/>
        </w:trPr>
        <w:tc>
          <w:tcPr>
            <w:tcW w:w="2155"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578"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566"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585"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578"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566"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85"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73"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61"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594"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61"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73"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61"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610"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73"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73"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61"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594"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61"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73"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73"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73"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73"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c>
          <w:tcPr>
            <w:tcW w:w="473" w:type="dxa"/>
            <w:tcBorders>
              <w:top w:val="nil"/>
              <w:left w:val="nil"/>
              <w:bottom w:val="nil"/>
              <w:right w:val="nil"/>
            </w:tcBorders>
            <w:shd w:val="clear" w:color="auto" w:fill="auto"/>
            <w:noWrap/>
            <w:vAlign w:val="bottom"/>
          </w:tcPr>
          <w:p w:rsidR="00F80D09" w:rsidRPr="0096274D" w:rsidRDefault="00F80D09" w:rsidP="00F80D09">
            <w:pPr>
              <w:rPr>
                <w:rFonts w:ascii="Arial" w:hAnsi="Arial" w:cs="Arial"/>
                <w:sz w:val="20"/>
                <w:szCs w:val="20"/>
              </w:rPr>
            </w:pPr>
          </w:p>
        </w:tc>
      </w:tr>
    </w:tbl>
    <w:p w:rsidR="00F80D09" w:rsidRPr="0096274D" w:rsidRDefault="00F80D09" w:rsidP="00F80D09">
      <w:pPr>
        <w:pStyle w:val="BodyTextIndent"/>
        <w:spacing w:after="0"/>
        <w:ind w:left="0"/>
        <w:jc w:val="both"/>
      </w:pPr>
    </w:p>
    <w:p w:rsidR="00F80D09" w:rsidRPr="0096274D" w:rsidRDefault="00F80D09" w:rsidP="00F80D09">
      <w:pPr>
        <w:pStyle w:val="BodyTextIndent"/>
        <w:spacing w:after="0"/>
        <w:ind w:left="0"/>
        <w:jc w:val="both"/>
      </w:pPr>
    </w:p>
    <w:p w:rsidR="0096274D" w:rsidRPr="0096274D" w:rsidRDefault="0096274D" w:rsidP="00F80D09">
      <w:pPr>
        <w:rPr>
          <w:sz w:val="28"/>
        </w:rPr>
      </w:pPr>
      <w:r w:rsidRPr="0096274D">
        <w:rPr>
          <w:sz w:val="28"/>
        </w:rPr>
        <w:t xml:space="preserve">Datums: </w:t>
      </w:r>
    </w:p>
    <w:p w:rsidR="0096274D" w:rsidRPr="0096274D" w:rsidRDefault="0096274D" w:rsidP="00F80D09">
      <w:pPr>
        <w:rPr>
          <w:sz w:val="28"/>
        </w:rPr>
      </w:pPr>
    </w:p>
    <w:p w:rsidR="00F80D09" w:rsidRPr="0096274D" w:rsidRDefault="0096274D" w:rsidP="00F80D09">
      <w:r w:rsidRPr="0096274D">
        <w:rPr>
          <w:sz w:val="28"/>
        </w:rPr>
        <w:t>Monitoringa veicēja paraksts un paraksta atšifrējums:</w:t>
      </w:r>
      <w:r w:rsidRPr="0096274D">
        <w:rPr>
          <w:sz w:val="28"/>
        </w:rPr>
        <w:tab/>
      </w:r>
      <w:r w:rsidRPr="0096274D">
        <w:rPr>
          <w:sz w:val="28"/>
        </w:rPr>
        <w:tab/>
      </w:r>
      <w:r w:rsidRPr="0096274D">
        <w:rPr>
          <w:sz w:val="28"/>
        </w:rPr>
        <w:tab/>
      </w:r>
      <w:r w:rsidRPr="0096274D">
        <w:rPr>
          <w:sz w:val="28"/>
        </w:rPr>
        <w:tab/>
      </w:r>
      <w:r w:rsidRPr="0096274D">
        <w:rPr>
          <w:sz w:val="28"/>
        </w:rPr>
        <w:tab/>
      </w:r>
      <w:r w:rsidRPr="0096274D">
        <w:rPr>
          <w:sz w:val="28"/>
        </w:rPr>
        <w:tab/>
      </w:r>
      <w:r w:rsidRPr="0096274D">
        <w:rPr>
          <w:sz w:val="28"/>
        </w:rPr>
        <w:tab/>
        <w:t>/V</w:t>
      </w:r>
      <w:r w:rsidR="00F80D09" w:rsidRPr="0096274D">
        <w:rPr>
          <w:sz w:val="28"/>
        </w:rPr>
        <w:t>.</w:t>
      </w:r>
      <w:r w:rsidRPr="0096274D">
        <w:rPr>
          <w:sz w:val="28"/>
        </w:rPr>
        <w:t>Uzvārds/</w:t>
      </w:r>
    </w:p>
    <w:p w:rsidR="00F1074C" w:rsidRPr="0096274D" w:rsidRDefault="00F1074C" w:rsidP="00F1074C">
      <w:pPr>
        <w:pStyle w:val="BodyTextIndent"/>
        <w:spacing w:after="0"/>
        <w:ind w:left="0"/>
        <w:jc w:val="both"/>
        <w:rPr>
          <w:lang w:val="lv-LV"/>
        </w:rPr>
      </w:pPr>
      <w:r w:rsidRPr="0096274D">
        <w:rPr>
          <w:lang w:val="lv-LV"/>
        </w:rPr>
        <w:t xml:space="preserve">  </w:t>
      </w:r>
    </w:p>
    <w:p w:rsidR="00457F97" w:rsidRPr="007824BC" w:rsidRDefault="00C64FFD" w:rsidP="00843248">
      <w:pPr>
        <w:rPr>
          <w:b/>
          <w:u w:val="single"/>
          <w:lang w:val="lv-LV"/>
        </w:rPr>
      </w:pPr>
      <w:r w:rsidRPr="007824BC">
        <w:rPr>
          <w:b/>
          <w:u w:val="single"/>
          <w:lang w:val="lv-LV"/>
        </w:rPr>
        <w:t xml:space="preserve"> </w:t>
      </w:r>
      <w:r w:rsidR="00040741" w:rsidRPr="007824BC">
        <w:rPr>
          <w:b/>
          <w:u w:val="single"/>
          <w:lang w:val="lv-LV"/>
        </w:rPr>
        <w:t xml:space="preserve"> </w:t>
      </w:r>
    </w:p>
    <w:sectPr w:rsidR="00457F97" w:rsidRPr="007824BC" w:rsidSect="00F80D09">
      <w:pgSz w:w="15840" w:h="12240" w:orient="landscape"/>
      <w:pgMar w:top="1797" w:right="1440" w:bottom="125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765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152068"/>
    <w:multiLevelType w:val="hybridMultilevel"/>
    <w:tmpl w:val="0AFA81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396683"/>
    <w:multiLevelType w:val="hybridMultilevel"/>
    <w:tmpl w:val="F878C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E29184A"/>
    <w:multiLevelType w:val="hybridMultilevel"/>
    <w:tmpl w:val="DC0C6388"/>
    <w:lvl w:ilvl="0" w:tplc="4CCA3F1A">
      <w:start w:val="1"/>
      <w:numFmt w:val="decimal"/>
      <w:lvlText w:val="%1)"/>
      <w:lvlJc w:val="left"/>
      <w:pPr>
        <w:tabs>
          <w:tab w:val="num" w:pos="750"/>
        </w:tabs>
        <w:ind w:left="750" w:hanging="390"/>
      </w:pPr>
      <w:rPr>
        <w:rFonts w:hint="default"/>
        <w:b w:val="0"/>
      </w:rPr>
    </w:lvl>
    <w:lvl w:ilvl="1" w:tplc="D71CFB5A">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2EE95793"/>
    <w:multiLevelType w:val="hybridMultilevel"/>
    <w:tmpl w:val="E898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D65C9E"/>
    <w:multiLevelType w:val="hybridMultilevel"/>
    <w:tmpl w:val="8EAAB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9923CC"/>
    <w:multiLevelType w:val="hybridMultilevel"/>
    <w:tmpl w:val="3F0E88AC"/>
    <w:lvl w:ilvl="0" w:tplc="B18CED1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EAD141A"/>
    <w:multiLevelType w:val="singleLevel"/>
    <w:tmpl w:val="0409000F"/>
    <w:lvl w:ilvl="0">
      <w:start w:val="1"/>
      <w:numFmt w:val="decimal"/>
      <w:lvlText w:val="%1."/>
      <w:lvlJc w:val="left"/>
      <w:pPr>
        <w:tabs>
          <w:tab w:val="num" w:pos="360"/>
        </w:tabs>
        <w:ind w:left="360" w:hanging="360"/>
      </w:pPr>
    </w:lvl>
  </w:abstractNum>
  <w:abstractNum w:abstractNumId="8">
    <w:nsid w:val="5C50310C"/>
    <w:multiLevelType w:val="hybridMultilevel"/>
    <w:tmpl w:val="ABEE71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21F5150"/>
    <w:multiLevelType w:val="hybridMultilevel"/>
    <w:tmpl w:val="6FD6C07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6"/>
  </w:num>
  <w:num w:numId="6">
    <w:abstractNumId w:val="5"/>
  </w:num>
  <w:num w:numId="7">
    <w:abstractNumId w:val="1"/>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044"/>
    <w:rsid w:val="0001167E"/>
    <w:rsid w:val="000144E3"/>
    <w:rsid w:val="00023210"/>
    <w:rsid w:val="00040741"/>
    <w:rsid w:val="00055E67"/>
    <w:rsid w:val="000717F4"/>
    <w:rsid w:val="000747FA"/>
    <w:rsid w:val="0007695B"/>
    <w:rsid w:val="00080013"/>
    <w:rsid w:val="0008612F"/>
    <w:rsid w:val="00090481"/>
    <w:rsid w:val="00090634"/>
    <w:rsid w:val="000B7D0F"/>
    <w:rsid w:val="000D0C46"/>
    <w:rsid w:val="000F350B"/>
    <w:rsid w:val="001101C2"/>
    <w:rsid w:val="00114381"/>
    <w:rsid w:val="00132447"/>
    <w:rsid w:val="00133268"/>
    <w:rsid w:val="00134AC8"/>
    <w:rsid w:val="00135898"/>
    <w:rsid w:val="00154B17"/>
    <w:rsid w:val="00170A72"/>
    <w:rsid w:val="0019202A"/>
    <w:rsid w:val="001961CC"/>
    <w:rsid w:val="001C374F"/>
    <w:rsid w:val="001E309A"/>
    <w:rsid w:val="001E6C4D"/>
    <w:rsid w:val="001F073E"/>
    <w:rsid w:val="00220044"/>
    <w:rsid w:val="00245ED7"/>
    <w:rsid w:val="00254874"/>
    <w:rsid w:val="00272B39"/>
    <w:rsid w:val="00292D50"/>
    <w:rsid w:val="002A026F"/>
    <w:rsid w:val="002A4B3C"/>
    <w:rsid w:val="002B14DB"/>
    <w:rsid w:val="002B62C9"/>
    <w:rsid w:val="002C14B8"/>
    <w:rsid w:val="002C281C"/>
    <w:rsid w:val="002E3ECC"/>
    <w:rsid w:val="00315AAD"/>
    <w:rsid w:val="0035721D"/>
    <w:rsid w:val="00397360"/>
    <w:rsid w:val="003A35DB"/>
    <w:rsid w:val="003B716A"/>
    <w:rsid w:val="00404ACA"/>
    <w:rsid w:val="00404F00"/>
    <w:rsid w:val="00412ADC"/>
    <w:rsid w:val="00417A00"/>
    <w:rsid w:val="00436BBD"/>
    <w:rsid w:val="004422F4"/>
    <w:rsid w:val="00443D13"/>
    <w:rsid w:val="00457F97"/>
    <w:rsid w:val="0047159B"/>
    <w:rsid w:val="004837D1"/>
    <w:rsid w:val="00485EEB"/>
    <w:rsid w:val="00493492"/>
    <w:rsid w:val="004A36B6"/>
    <w:rsid w:val="004C08E3"/>
    <w:rsid w:val="004C5000"/>
    <w:rsid w:val="004C7DDE"/>
    <w:rsid w:val="004D607A"/>
    <w:rsid w:val="004E5982"/>
    <w:rsid w:val="004F0C22"/>
    <w:rsid w:val="004F4D35"/>
    <w:rsid w:val="005231B3"/>
    <w:rsid w:val="005241B0"/>
    <w:rsid w:val="00525179"/>
    <w:rsid w:val="0053114E"/>
    <w:rsid w:val="00532F3E"/>
    <w:rsid w:val="00534FCC"/>
    <w:rsid w:val="00572053"/>
    <w:rsid w:val="00581733"/>
    <w:rsid w:val="005C0840"/>
    <w:rsid w:val="005C391C"/>
    <w:rsid w:val="005C7F95"/>
    <w:rsid w:val="005D20C5"/>
    <w:rsid w:val="005D20DE"/>
    <w:rsid w:val="005F26C9"/>
    <w:rsid w:val="00621FFC"/>
    <w:rsid w:val="006239E3"/>
    <w:rsid w:val="006458E7"/>
    <w:rsid w:val="00650D9F"/>
    <w:rsid w:val="006576C9"/>
    <w:rsid w:val="00672470"/>
    <w:rsid w:val="006C0187"/>
    <w:rsid w:val="006C26DC"/>
    <w:rsid w:val="006E47B0"/>
    <w:rsid w:val="006E63FE"/>
    <w:rsid w:val="006F0CEC"/>
    <w:rsid w:val="00703012"/>
    <w:rsid w:val="0075115D"/>
    <w:rsid w:val="007621F5"/>
    <w:rsid w:val="00771415"/>
    <w:rsid w:val="00773460"/>
    <w:rsid w:val="007824BC"/>
    <w:rsid w:val="00786A31"/>
    <w:rsid w:val="0079088B"/>
    <w:rsid w:val="00796AC3"/>
    <w:rsid w:val="007A318D"/>
    <w:rsid w:val="007A5CD3"/>
    <w:rsid w:val="007E720D"/>
    <w:rsid w:val="007E7C52"/>
    <w:rsid w:val="007F047F"/>
    <w:rsid w:val="007F5092"/>
    <w:rsid w:val="00800EAB"/>
    <w:rsid w:val="00810BE6"/>
    <w:rsid w:val="00843248"/>
    <w:rsid w:val="00856FE9"/>
    <w:rsid w:val="00866EE7"/>
    <w:rsid w:val="00881BE9"/>
    <w:rsid w:val="00892DD0"/>
    <w:rsid w:val="00895D9E"/>
    <w:rsid w:val="008E197A"/>
    <w:rsid w:val="008F042F"/>
    <w:rsid w:val="0091443F"/>
    <w:rsid w:val="00927DFF"/>
    <w:rsid w:val="00930F4D"/>
    <w:rsid w:val="00947872"/>
    <w:rsid w:val="0096274D"/>
    <w:rsid w:val="009726CA"/>
    <w:rsid w:val="00977C0C"/>
    <w:rsid w:val="0098027C"/>
    <w:rsid w:val="009B2F0C"/>
    <w:rsid w:val="009C132D"/>
    <w:rsid w:val="009D3FB3"/>
    <w:rsid w:val="009D5B1A"/>
    <w:rsid w:val="009E098D"/>
    <w:rsid w:val="009F5B86"/>
    <w:rsid w:val="009F6CD4"/>
    <w:rsid w:val="00A12A55"/>
    <w:rsid w:val="00A33C78"/>
    <w:rsid w:val="00A4221A"/>
    <w:rsid w:val="00A579A3"/>
    <w:rsid w:val="00A634D9"/>
    <w:rsid w:val="00A86589"/>
    <w:rsid w:val="00A876BF"/>
    <w:rsid w:val="00A90402"/>
    <w:rsid w:val="00AA04FC"/>
    <w:rsid w:val="00AC0F3E"/>
    <w:rsid w:val="00AE2E65"/>
    <w:rsid w:val="00B01010"/>
    <w:rsid w:val="00B04689"/>
    <w:rsid w:val="00B1534B"/>
    <w:rsid w:val="00B34286"/>
    <w:rsid w:val="00B36B48"/>
    <w:rsid w:val="00B505B8"/>
    <w:rsid w:val="00B81EEB"/>
    <w:rsid w:val="00B87ADB"/>
    <w:rsid w:val="00B9043A"/>
    <w:rsid w:val="00B93032"/>
    <w:rsid w:val="00B959CC"/>
    <w:rsid w:val="00BC1A6F"/>
    <w:rsid w:val="00BE4909"/>
    <w:rsid w:val="00C01382"/>
    <w:rsid w:val="00C22A65"/>
    <w:rsid w:val="00C55529"/>
    <w:rsid w:val="00C635D8"/>
    <w:rsid w:val="00C64FFD"/>
    <w:rsid w:val="00C663D2"/>
    <w:rsid w:val="00C71AFE"/>
    <w:rsid w:val="00CA1E1B"/>
    <w:rsid w:val="00CB4393"/>
    <w:rsid w:val="00CC3219"/>
    <w:rsid w:val="00CC5FBE"/>
    <w:rsid w:val="00CE51D7"/>
    <w:rsid w:val="00CE7370"/>
    <w:rsid w:val="00CF50E3"/>
    <w:rsid w:val="00D01411"/>
    <w:rsid w:val="00D0223B"/>
    <w:rsid w:val="00D15AC2"/>
    <w:rsid w:val="00D16E07"/>
    <w:rsid w:val="00D21D09"/>
    <w:rsid w:val="00D30288"/>
    <w:rsid w:val="00D30434"/>
    <w:rsid w:val="00D5350C"/>
    <w:rsid w:val="00D56E39"/>
    <w:rsid w:val="00D61C58"/>
    <w:rsid w:val="00D7027B"/>
    <w:rsid w:val="00D70D8C"/>
    <w:rsid w:val="00D71A9F"/>
    <w:rsid w:val="00D83677"/>
    <w:rsid w:val="00D84ED5"/>
    <w:rsid w:val="00DB727E"/>
    <w:rsid w:val="00DC1AEA"/>
    <w:rsid w:val="00DC6A86"/>
    <w:rsid w:val="00DC75F2"/>
    <w:rsid w:val="00DF4111"/>
    <w:rsid w:val="00E24D59"/>
    <w:rsid w:val="00E342B4"/>
    <w:rsid w:val="00E375F1"/>
    <w:rsid w:val="00E53CA1"/>
    <w:rsid w:val="00E54D35"/>
    <w:rsid w:val="00E555BD"/>
    <w:rsid w:val="00E822DB"/>
    <w:rsid w:val="00EA7825"/>
    <w:rsid w:val="00EC79F2"/>
    <w:rsid w:val="00ED48A9"/>
    <w:rsid w:val="00ED7F76"/>
    <w:rsid w:val="00EE4367"/>
    <w:rsid w:val="00EE593F"/>
    <w:rsid w:val="00EE7A33"/>
    <w:rsid w:val="00F1074C"/>
    <w:rsid w:val="00F26740"/>
    <w:rsid w:val="00F524A9"/>
    <w:rsid w:val="00F558CF"/>
    <w:rsid w:val="00F647E0"/>
    <w:rsid w:val="00F80D09"/>
    <w:rsid w:val="00F867B9"/>
    <w:rsid w:val="00F94409"/>
    <w:rsid w:val="00F958EA"/>
    <w:rsid w:val="00FC1C22"/>
    <w:rsid w:val="00FD6DBA"/>
    <w:rsid w:val="00FF2BDE"/>
    <w:rsid w:val="00FF7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87ADB"/>
    <w:pPr>
      <w:spacing w:after="120" w:line="480" w:lineRule="auto"/>
    </w:pPr>
    <w:rPr>
      <w:sz w:val="20"/>
      <w:szCs w:val="20"/>
      <w:lang w:val="lv-LV" w:eastAsia="lv-LV"/>
    </w:rPr>
  </w:style>
  <w:style w:type="table" w:styleId="TableGrid">
    <w:name w:val="Table Grid"/>
    <w:basedOn w:val="TableNormal"/>
    <w:rsid w:val="001E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76C9"/>
    <w:rPr>
      <w:color w:val="0000FF"/>
      <w:u w:val="single"/>
    </w:rPr>
  </w:style>
  <w:style w:type="paragraph" w:styleId="BodyTextIndent">
    <w:name w:val="Body Text Indent"/>
    <w:basedOn w:val="Normal"/>
    <w:rsid w:val="00F1074C"/>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5193</Words>
  <Characters>2961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Monitoringa mērķis un uzdevumi</vt:lpstr>
    </vt:vector>
  </TitlesOfParts>
  <Company>Microsoft Corporation</Company>
  <LinksUpToDate>false</LinksUpToDate>
  <CharactersWithSpaces>8138</CharactersWithSpaces>
  <SharedDoc>false</SharedDoc>
  <HLinks>
    <vt:vector size="6" baseType="variant">
      <vt:variant>
        <vt:i4>5570571</vt:i4>
      </vt:variant>
      <vt:variant>
        <vt:i4>2300</vt:i4>
      </vt:variant>
      <vt:variant>
        <vt:i4>1025</vt:i4>
      </vt:variant>
      <vt:variant>
        <vt:i4>1</vt:i4>
      </vt:variant>
      <vt:variant>
        <vt:lpwstr>2032881_300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Monitoringa mērķis un uzdevumi</dc:title>
  <dc:creator>user</dc:creator>
  <cp:lastModifiedBy>AndrisS</cp:lastModifiedBy>
  <cp:revision>2</cp:revision>
  <dcterms:created xsi:type="dcterms:W3CDTF">2020-10-16T09:15:00Z</dcterms:created>
  <dcterms:modified xsi:type="dcterms:W3CDTF">2020-10-16T09:15:00Z</dcterms:modified>
</cp:coreProperties>
</file>