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F6" w:rsidRPr="00FC0E5B" w:rsidRDefault="009F72F6" w:rsidP="009F72F6">
      <w:pPr>
        <w:rPr>
          <w:rFonts w:ascii="Times New Roman" w:hAnsi="Times New Roman" w:cs="Times New Roman"/>
          <w:b/>
          <w:i/>
          <w:sz w:val="28"/>
          <w:szCs w:val="28"/>
          <w:lang w:eastAsia="lv-LV"/>
        </w:rPr>
      </w:pPr>
      <w:r w:rsidRPr="00FC0E5B">
        <w:rPr>
          <w:rFonts w:ascii="Times New Roman" w:hAnsi="Times New Roman" w:cs="Times New Roman"/>
          <w:b/>
          <w:sz w:val="40"/>
          <w:szCs w:val="40"/>
          <w:lang w:eastAsia="lv-LV"/>
        </w:rPr>
        <w:t>91F0*</w:t>
      </w:r>
      <w:r w:rsidRPr="00FC0E5B">
        <w:rPr>
          <w:rFonts w:ascii="Times New Roman" w:hAnsi="Times New Roman" w:cs="Times New Roman"/>
          <w:b/>
          <w:lang w:eastAsia="lv-LV"/>
        </w:rPr>
        <w:t xml:space="preserve"> </w:t>
      </w:r>
      <w:r w:rsidRPr="00FC0E5B">
        <w:rPr>
          <w:rFonts w:ascii="Times New Roman" w:hAnsi="Times New Roman" w:cs="Times New Roman"/>
          <w:b/>
          <w:i/>
          <w:sz w:val="28"/>
          <w:szCs w:val="28"/>
          <w:lang w:eastAsia="lv-LV"/>
        </w:rPr>
        <w:t>Jaukti ozolu, gobu, ošu meži gar lielām upēm</w:t>
      </w:r>
    </w:p>
    <w:p w:rsidR="009F72F6" w:rsidRPr="00FC0E5B" w:rsidRDefault="009F72F6" w:rsidP="009F72F6">
      <w:pPr>
        <w:rPr>
          <w:rFonts w:ascii="Times New Roman" w:hAnsi="Times New Roman" w:cs="Times New Roman"/>
          <w:lang w:eastAsia="lv-LV"/>
        </w:rPr>
      </w:pPr>
      <w:r w:rsidRPr="00FC0E5B">
        <w:rPr>
          <w:rFonts w:ascii="Times New Roman" w:hAnsi="Times New Roman" w:cs="Times New Roman"/>
          <w:lang w:eastAsia="lv-LV"/>
        </w:rPr>
        <w:t>V.Lārmanis, 2016</w:t>
      </w:r>
    </w:p>
    <w:p w:rsidR="009F72F6" w:rsidRPr="00FC0E5B" w:rsidRDefault="009F72F6" w:rsidP="009F72F6">
      <w:pPr>
        <w:rPr>
          <w:rFonts w:ascii="Times New Roman" w:hAnsi="Times New Roman" w:cs="Times New Roman"/>
          <w:lang w:eastAsia="lv-LV"/>
        </w:rPr>
      </w:pP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  <w:r w:rsidRPr="00FC0E5B">
        <w:rPr>
          <w:rFonts w:ascii="Times New Roman" w:eastAsia="MyriadPro-LightCond" w:hAnsi="Times New Roman" w:cs="Times New Roman"/>
        </w:rPr>
        <w:t xml:space="preserve">Iepriekšējais nosaukums: </w:t>
      </w:r>
      <w:r w:rsidRPr="00FC0E5B">
        <w:rPr>
          <w:rFonts w:ascii="Times New Roman" w:eastAsia="MyriadPro-LightCond" w:hAnsi="Times New Roman" w:cs="Times New Roman"/>
          <w:i/>
          <w:iCs/>
        </w:rPr>
        <w:t>Jaukti ozolu, gobu, ošu meži upju</w:t>
      </w:r>
      <w:r>
        <w:rPr>
          <w:rFonts w:ascii="Times New Roman" w:eastAsia="MyriadPro-LightCond" w:hAnsi="Times New Roman" w:cs="Times New Roman"/>
          <w:i/>
          <w:iCs/>
        </w:rPr>
        <w:t xml:space="preserve"> </w:t>
      </w:r>
      <w:r w:rsidRPr="00FC0E5B">
        <w:rPr>
          <w:rFonts w:ascii="Times New Roman" w:eastAsia="MyriadPro-LightCond" w:hAnsi="Times New Roman" w:cs="Times New Roman"/>
          <w:i/>
          <w:iCs/>
        </w:rPr>
        <w:t xml:space="preserve">krastos </w:t>
      </w:r>
      <w:r w:rsidRPr="00FC0E5B">
        <w:rPr>
          <w:rFonts w:ascii="Times New Roman" w:eastAsia="MyriadPro-LightCond" w:hAnsi="Times New Roman" w:cs="Times New Roman"/>
        </w:rPr>
        <w:t>(nosaukums mainīts, jo iepriekšējais nosaukums neprecīzi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atspoguļoja biotopa būtību).</w:t>
      </w:r>
    </w:p>
    <w:p w:rsidR="009F72F6" w:rsidRPr="00FC0E5B" w:rsidRDefault="009F72F6" w:rsidP="009F72F6">
      <w:pPr>
        <w:rPr>
          <w:rFonts w:ascii="Times New Roman" w:eastAsia="MyriadPro-LightCond" w:hAnsi="Times New Roman" w:cs="Times New Roman"/>
          <w:color w:val="000000"/>
          <w:sz w:val="18"/>
          <w:szCs w:val="18"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Cs/>
        </w:rPr>
        <w:t xml:space="preserve">Latvijas biotopu klasifikators: </w:t>
      </w:r>
      <w:r w:rsidRPr="00FC0E5B">
        <w:rPr>
          <w:rFonts w:ascii="Times New Roman" w:eastAsia="MyriadPro-LightCond" w:hAnsi="Times New Roman" w:cs="Times New Roman"/>
        </w:rPr>
        <w:t>F.1.8.3.</w:t>
      </w:r>
    </w:p>
    <w:p w:rsidR="009F72F6" w:rsidRPr="00FC0E5B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Cs/>
        </w:rPr>
        <w:t xml:space="preserve">Sintaksonomija: </w:t>
      </w:r>
      <w:r w:rsidRPr="00FC0E5B">
        <w:rPr>
          <w:rFonts w:ascii="Times New Roman" w:hAnsi="Times New Roman" w:cs="Times New Roman"/>
          <w:i/>
          <w:iCs/>
        </w:rPr>
        <w:t>Querco-Fagetea</w:t>
      </w:r>
      <w:r w:rsidRPr="00FC0E5B">
        <w:rPr>
          <w:rFonts w:ascii="Times New Roman" w:eastAsia="MyriadPro-LightCond" w:hAnsi="Times New Roman" w:cs="Times New Roman"/>
        </w:rPr>
        <w:t>.</w:t>
      </w: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/>
          <w:bCs/>
        </w:rPr>
        <w:t xml:space="preserve">Definīcija: </w:t>
      </w:r>
      <w:r w:rsidRPr="00FC0E5B">
        <w:rPr>
          <w:rFonts w:ascii="Times New Roman" w:eastAsia="MyriadPro-LightCond" w:hAnsi="Times New Roman" w:cs="Times New Roman"/>
        </w:rPr>
        <w:t>platlapju meži upju ielejās, kas pakļauti regulārai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applūšanai palos vai palu izraisītām </w:t>
      </w:r>
      <w:r>
        <w:rPr>
          <w:rFonts w:ascii="Times New Roman" w:eastAsia="MyriadPro-LightCond" w:hAnsi="Times New Roman" w:cs="Times New Roman"/>
        </w:rPr>
        <w:t>pazemes ūdeņu</w:t>
      </w:r>
      <w:r w:rsidRPr="00FC0E5B">
        <w:rPr>
          <w:rFonts w:ascii="Times New Roman" w:eastAsia="MyriadPro-LightCond" w:hAnsi="Times New Roman" w:cs="Times New Roman"/>
        </w:rPr>
        <w:t xml:space="preserve"> līmeņ</w:t>
      </w:r>
      <w:r>
        <w:rPr>
          <w:rFonts w:ascii="Times New Roman" w:eastAsia="MyriadPro-LightCond" w:hAnsi="Times New Roman" w:cs="Times New Roman"/>
        </w:rPr>
        <w:t>a</w:t>
      </w:r>
      <w:r w:rsidRPr="00FC0E5B">
        <w:rPr>
          <w:rFonts w:ascii="Times New Roman" w:eastAsia="MyriadPro-LightCond" w:hAnsi="Times New Roman" w:cs="Times New Roman"/>
        </w:rPr>
        <w:t xml:space="preserve"> svārstībām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zemākajās vietās. Šie meži attīstījušies uz upju sanesu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nogulumiem. Applūšanas starplaikos augsne var būt gan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labi drenēta, gan arī saglabāties pārmitra. Hidroloģiskā režīma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iespaidā kokaudzē dominē ošu </w:t>
      </w:r>
      <w:r w:rsidRPr="00FC0E5B">
        <w:rPr>
          <w:rFonts w:ascii="Times New Roman" w:hAnsi="Times New Roman" w:cs="Times New Roman"/>
          <w:i/>
          <w:iCs/>
        </w:rPr>
        <w:t>Fraxinus</w:t>
      </w:r>
      <w:r w:rsidRPr="00FC0E5B">
        <w:rPr>
          <w:rFonts w:ascii="Times New Roman" w:eastAsia="MyriadPro-LightCond" w:hAnsi="Times New Roman" w:cs="Times New Roman"/>
        </w:rPr>
        <w:t xml:space="preserve">, gobu </w:t>
      </w:r>
      <w:r w:rsidRPr="00FC0E5B">
        <w:rPr>
          <w:rFonts w:ascii="Times New Roman" w:hAnsi="Times New Roman" w:cs="Times New Roman"/>
          <w:i/>
          <w:iCs/>
        </w:rPr>
        <w:t xml:space="preserve">Ulmus </w:t>
      </w:r>
      <w:r w:rsidRPr="00FC0E5B">
        <w:rPr>
          <w:rFonts w:ascii="Times New Roman" w:eastAsia="MyriadPro-LightCond" w:hAnsi="Times New Roman" w:cs="Times New Roman"/>
        </w:rPr>
        <w:t>vai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ozolu </w:t>
      </w:r>
      <w:r w:rsidRPr="00FC0E5B">
        <w:rPr>
          <w:rFonts w:ascii="Times New Roman" w:hAnsi="Times New Roman" w:cs="Times New Roman"/>
          <w:i/>
          <w:iCs/>
        </w:rPr>
        <w:t xml:space="preserve">Quercus </w:t>
      </w:r>
      <w:r w:rsidRPr="00FC0E5B">
        <w:rPr>
          <w:rFonts w:ascii="Times New Roman" w:eastAsia="MyriadPro-LightCond" w:hAnsi="Times New Roman" w:cs="Times New Roman"/>
        </w:rPr>
        <w:t>ģinšu koki. Raksturīgs labi attīstījies pamežs. Šie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meži var veidot sajaukumu ar pionierfāzes vai stabilā stadijā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esošiem šaurlapju mežiem, kas atrodas zemākajās vietās pie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upēm. Biotops bieži robežojas ar alkšņu un ošu mežiem.</w:t>
      </w: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/>
          <w:bCs/>
        </w:rPr>
        <w:t xml:space="preserve">Biotopa īpatnības Latvijā: </w:t>
      </w:r>
      <w:r w:rsidRPr="00FC0E5B">
        <w:rPr>
          <w:rFonts w:ascii="Times New Roman" w:eastAsia="MyriadPro-LightCond" w:hAnsi="Times New Roman" w:cs="Times New Roman"/>
        </w:rPr>
        <w:t>biotops tiek atzīmēts pie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upēm, kas ir vismaz tik lielas kā Pededze, Ogre, sākot no to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vidusteces. Biotops ir ekoloģiski līdzīgs biotopam 91E0* </w:t>
      </w:r>
      <w:r w:rsidRPr="00FC0E5B">
        <w:rPr>
          <w:rFonts w:ascii="Times New Roman" w:hAnsi="Times New Roman" w:cs="Times New Roman"/>
          <w:i/>
          <w:iCs/>
        </w:rPr>
        <w:t>Aluviāli</w:t>
      </w:r>
      <w:r>
        <w:rPr>
          <w:rFonts w:ascii="Times New Roman" w:hAnsi="Times New Roman" w:cs="Times New Roman"/>
          <w:i/>
          <w:iCs/>
        </w:rPr>
        <w:t xml:space="preserve"> </w:t>
      </w:r>
      <w:r w:rsidRPr="00FC0E5B">
        <w:rPr>
          <w:rFonts w:ascii="Times New Roman" w:hAnsi="Times New Roman" w:cs="Times New Roman"/>
          <w:i/>
          <w:iCs/>
        </w:rPr>
        <w:t xml:space="preserve">meži, </w:t>
      </w:r>
      <w:r w:rsidRPr="00FC0E5B">
        <w:rPr>
          <w:rFonts w:ascii="Times New Roman" w:eastAsia="MyriadPro-LightCond" w:hAnsi="Times New Roman" w:cs="Times New Roman"/>
        </w:rPr>
        <w:t>kas dažkārt ir agrāka 91F0 attīstības stadija. Diezgan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bieži biotops pēc izcelsmes ir apmežojušās kādreizējās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6530* </w:t>
      </w:r>
      <w:r w:rsidRPr="00FC0E5B">
        <w:rPr>
          <w:rFonts w:ascii="Times New Roman" w:hAnsi="Times New Roman" w:cs="Times New Roman"/>
          <w:i/>
          <w:iCs/>
        </w:rPr>
        <w:t xml:space="preserve">Parkveida pļavas vai </w:t>
      </w:r>
      <w:r w:rsidRPr="00D0716C">
        <w:rPr>
          <w:rFonts w:ascii="Times New Roman" w:hAnsi="Times New Roman" w:cs="Times New Roman"/>
          <w:iCs/>
        </w:rPr>
        <w:t xml:space="preserve">ganības </w:t>
      </w:r>
      <w:r w:rsidRPr="00D0716C">
        <w:rPr>
          <w:rFonts w:ascii="Times New Roman" w:eastAsia="MyriadPro-LightCond" w:hAnsi="Times New Roman" w:cs="Times New Roman"/>
        </w:rPr>
        <w:t>(</w:t>
      </w:r>
      <w:r w:rsidRPr="00D0716C">
        <w:rPr>
          <w:rFonts w:ascii="Times New Roman" w:hAnsi="Times New Roman" w:cs="Times New Roman"/>
          <w:iCs/>
        </w:rPr>
        <w:t>2. att.</w:t>
      </w:r>
      <w:r w:rsidRPr="00D0716C">
        <w:rPr>
          <w:rFonts w:ascii="Times New Roman" w:eastAsia="MyriadPro-LightCond" w:hAnsi="Times New Roman" w:cs="Times New Roman"/>
        </w:rPr>
        <w:t>).</w:t>
      </w:r>
      <w:r w:rsidRPr="00FC0E5B">
        <w:rPr>
          <w:rFonts w:ascii="Times New Roman" w:eastAsia="MyriadPro-LightCond" w:hAnsi="Times New Roman" w:cs="Times New Roman"/>
        </w:rPr>
        <w:t xml:space="preserve"> Gravu un </w:t>
      </w:r>
      <w:r>
        <w:rPr>
          <w:rFonts w:ascii="Times New Roman" w:eastAsia="MyriadPro-LightCond" w:hAnsi="Times New Roman" w:cs="Times New Roman"/>
        </w:rPr>
        <w:t>t</w:t>
      </w:r>
      <w:r w:rsidRPr="00FC0E5B">
        <w:rPr>
          <w:rFonts w:ascii="Times New Roman" w:eastAsia="MyriadPro-LightCond" w:hAnsi="Times New Roman" w:cs="Times New Roman"/>
        </w:rPr>
        <w:t>o nogāžu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tuvumā var būt gadījumi, kad nelielus, šaurus biotopa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fragmentus nogāžu pakājē ir ekoloģiski pamatoti uzskatīt par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gravu vai nogāžu kompleksa sastāvdaļu. Šādās situācijās pieļaujams,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ka biotops atsevišķi netiek izdalīts, bet klasificējams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kā 9180* </w:t>
      </w:r>
      <w:r w:rsidRPr="00FC0E5B">
        <w:rPr>
          <w:rFonts w:ascii="Times New Roman" w:eastAsia="MyriadPro-LightCond" w:hAnsi="Times New Roman" w:cs="Times New Roman"/>
          <w:i/>
          <w:iCs/>
        </w:rPr>
        <w:t>Nogāžu un gravu meži</w:t>
      </w:r>
      <w:r w:rsidRPr="00FC0E5B">
        <w:rPr>
          <w:rFonts w:ascii="Times New Roman" w:eastAsia="MyriadPro-LightCond" w:hAnsi="Times New Roman" w:cs="Times New Roman"/>
        </w:rPr>
        <w:t>.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4241"/>
      </w:tblGrid>
      <w:tr w:rsidR="009F72F6" w:rsidTr="0012598C">
        <w:tc>
          <w:tcPr>
            <w:tcW w:w="6271" w:type="dxa"/>
          </w:tcPr>
          <w:p w:rsidR="009F72F6" w:rsidRDefault="009F72F6" w:rsidP="0012598C">
            <w:pPr>
              <w:autoSpaceDE w:val="0"/>
              <w:autoSpaceDN w:val="0"/>
              <w:adjustRightInd w:val="0"/>
              <w:rPr>
                <w:rFonts w:ascii="Times New Roman" w:eastAsia="MyriadPro-LightCond" w:hAnsi="Times New Roman" w:cs="Times New Roman"/>
                <w:b/>
                <w:bCs/>
              </w:rPr>
            </w:pPr>
          </w:p>
          <w:p w:rsidR="009F72F6" w:rsidRPr="00FC0E5B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</w:rPr>
            </w:pPr>
            <w:r w:rsidRPr="00FC0E5B">
              <w:rPr>
                <w:rFonts w:ascii="Times New Roman" w:eastAsia="MyriadPro-LightCond" w:hAnsi="Times New Roman" w:cs="Times New Roman"/>
                <w:b/>
                <w:bCs/>
              </w:rPr>
              <w:t xml:space="preserve">Izplatība: </w:t>
            </w:r>
            <w:r w:rsidRPr="00FC0E5B">
              <w:rPr>
                <w:rFonts w:ascii="Times New Roman" w:eastAsia="MyriadPro-LightCond" w:hAnsi="Times New Roman" w:cs="Times New Roman"/>
              </w:rPr>
              <w:t>biotops Latvijā maz pētīts (Prieditis, 2002), tādēļ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priekšstats par izplatību diezgan neskaidrs. Pēc līdzšinējiem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biotopu kartējumiem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 xml:space="preserve">Natura 2000 </w:t>
            </w:r>
            <w:r w:rsidRPr="00FC0E5B">
              <w:rPr>
                <w:rFonts w:ascii="Times New Roman" w:eastAsia="MyriadPro-LightCond" w:hAnsi="Times New Roman" w:cs="Times New Roman"/>
              </w:rPr>
              <w:t>vietās novērtēts</w:t>
            </w:r>
            <w:r>
              <w:rPr>
                <w:rFonts w:ascii="Times New Roman" w:eastAsia="MyriadPro-LightCond" w:hAnsi="Times New Roman" w:cs="Times New Roman"/>
              </w:rPr>
              <w:t xml:space="preserve"> (1. att.)</w:t>
            </w:r>
            <w:r w:rsidRPr="00FC0E5B">
              <w:rPr>
                <w:rFonts w:ascii="Times New Roman" w:eastAsia="MyriadPro-LightCond" w:hAnsi="Times New Roman" w:cs="Times New Roman"/>
              </w:rPr>
              <w:t>, ka tas varētu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aizņemt ap 0,006% no Latvijas teritorijas (Conservation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status of..., 2013). Līdz šim konstatēti tikai nelieli (visbiežāk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līdz 1 ha platībā) biotopa fragmenti – galvenokārt Gaujas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vidusteces (Aizsargājamo ainavu apvidus..., 2007), Pededzes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(Dabas lieguma..., 2005; Dabas lieguma..., 2007) un Ogres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krastos (Bambe, 2003; Biotopu rokasgrāmata..., 2004).</w:t>
            </w:r>
          </w:p>
          <w:p w:rsidR="009F72F6" w:rsidRDefault="009F72F6" w:rsidP="0012598C">
            <w:pPr>
              <w:autoSpaceDE w:val="0"/>
              <w:autoSpaceDN w:val="0"/>
              <w:adjustRightInd w:val="0"/>
              <w:rPr>
                <w:rFonts w:ascii="Times New Roman" w:eastAsia="MyriadPro-LightCond" w:hAnsi="Times New Roman" w:cs="Times New Roman"/>
                <w:b/>
                <w:bCs/>
              </w:rPr>
            </w:pPr>
          </w:p>
          <w:p w:rsidR="009F72F6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b/>
                <w:bCs/>
              </w:rPr>
            </w:pPr>
            <w:r w:rsidRPr="00FC0E5B">
              <w:rPr>
                <w:rFonts w:ascii="Times New Roman" w:eastAsia="MyriadPro-LightCond" w:hAnsi="Times New Roman" w:cs="Times New Roman"/>
                <w:b/>
                <w:bCs/>
              </w:rPr>
              <w:t xml:space="preserve">Aizsardzības vērtība: </w:t>
            </w:r>
            <w:r w:rsidRPr="00FC0E5B">
              <w:rPr>
                <w:rFonts w:ascii="Times New Roman" w:eastAsia="MyriadPro-LightCond" w:hAnsi="Times New Roman" w:cs="Times New Roman"/>
              </w:rPr>
              <w:t>aizņem vismazāko platību no visiem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ES </w:t>
            </w:r>
          </w:p>
        </w:tc>
        <w:tc>
          <w:tcPr>
            <w:tcW w:w="4241" w:type="dxa"/>
          </w:tcPr>
          <w:p w:rsidR="009F72F6" w:rsidRPr="005C29E4" w:rsidRDefault="009F72F6" w:rsidP="0012598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lv-LV"/>
              </w:rPr>
            </w:pPr>
            <w:r w:rsidRPr="005C29E4">
              <w:rPr>
                <w:rFonts w:ascii="Times New Roman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338D43E4" wp14:editId="4D72640F">
                  <wp:extent cx="2310384" cy="164363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427" cy="165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2F6" w:rsidRPr="005C29E4" w:rsidRDefault="009F72F6" w:rsidP="0012598C">
            <w:pPr>
              <w:autoSpaceDE w:val="0"/>
              <w:autoSpaceDN w:val="0"/>
              <w:adjustRightInd w:val="0"/>
              <w:rPr>
                <w:rFonts w:ascii="Times New Roman" w:eastAsia="MyriadPro-LightCond" w:hAnsi="Times New Roman" w:cs="Times New Roman"/>
                <w:color w:val="000000"/>
                <w:sz w:val="18"/>
                <w:szCs w:val="18"/>
              </w:rPr>
            </w:pPr>
            <w:r w:rsidRPr="005C29E4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1. att.</w:t>
            </w:r>
            <w:r w:rsidRPr="005C29E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Pr="005C29E4">
              <w:rPr>
                <w:rFonts w:ascii="Times New Roman" w:eastAsia="MyriadPro-LightCond" w:hAnsi="Times New Roman" w:cs="Times New Roman"/>
                <w:color w:val="000000"/>
                <w:sz w:val="16"/>
                <w:szCs w:val="16"/>
              </w:rPr>
              <w:t xml:space="preserve">Biotopa 91F0 </w:t>
            </w:r>
            <w:r w:rsidRPr="005C29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Jaukti ozolu, gobu, ošu meži gar lielām upēm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5C29E4">
              <w:rPr>
                <w:rFonts w:ascii="Times New Roman" w:eastAsia="MyriadPro-LightCond" w:hAnsi="Times New Roman" w:cs="Times New Roman"/>
                <w:color w:val="000000"/>
                <w:sz w:val="16"/>
                <w:szCs w:val="16"/>
              </w:rPr>
              <w:t>izplatība Latvijā (Conservation status of..., 2013)</w:t>
            </w:r>
          </w:p>
        </w:tc>
      </w:tr>
    </w:tbl>
    <w:p w:rsidR="009F72F6" w:rsidRPr="00FC0E5B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eastAsia="MyriadPro-LightCond" w:hAnsi="Times New Roman" w:cs="Times New Roman"/>
        </w:rPr>
        <w:t>nozīmes meža biotopiem Latvijā. Nozīmīga dzīvotne īpaši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aizsargājamām sugām, kam </w:t>
      </w:r>
      <w:r>
        <w:rPr>
          <w:rFonts w:ascii="Times New Roman" w:eastAsia="MyriadPro-LightCond" w:hAnsi="Times New Roman" w:cs="Times New Roman"/>
        </w:rPr>
        <w:t xml:space="preserve">nozīmīga </w:t>
      </w:r>
      <w:r w:rsidRPr="00FC0E5B">
        <w:rPr>
          <w:rFonts w:ascii="Times New Roman" w:eastAsia="MyriadPro-LightCond" w:hAnsi="Times New Roman" w:cs="Times New Roman"/>
        </w:rPr>
        <w:t>populācijas daļa atrodama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krastmalu </w:t>
      </w:r>
      <w:r>
        <w:rPr>
          <w:rFonts w:ascii="Times New Roman" w:eastAsia="MyriadPro-LightCond" w:hAnsi="Times New Roman" w:cs="Times New Roman"/>
        </w:rPr>
        <w:t xml:space="preserve">un palieņu </w:t>
      </w:r>
      <w:bookmarkStart w:id="0" w:name="_GoBack"/>
      <w:bookmarkEnd w:id="0"/>
      <w:r w:rsidRPr="00FC0E5B">
        <w:rPr>
          <w:rFonts w:ascii="Times New Roman" w:eastAsia="MyriadPro-LightCond" w:hAnsi="Times New Roman" w:cs="Times New Roman"/>
        </w:rPr>
        <w:t>mežos, piemēram, epifītiskajiem ķērpjiem kolēmām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  <w:i/>
          <w:iCs/>
        </w:rPr>
        <w:t xml:space="preserve">Collema spp. </w:t>
      </w:r>
      <w:r w:rsidRPr="00FC0E5B">
        <w:rPr>
          <w:rFonts w:ascii="Times New Roman" w:eastAsia="MyriadPro-LightCond" w:hAnsi="Times New Roman" w:cs="Times New Roman"/>
        </w:rPr>
        <w:t xml:space="preserve">un leptogijām </w:t>
      </w:r>
      <w:r w:rsidRPr="00FC0E5B">
        <w:rPr>
          <w:rFonts w:ascii="Times New Roman" w:eastAsia="MyriadPro-LightCond" w:hAnsi="Times New Roman" w:cs="Times New Roman"/>
          <w:i/>
          <w:iCs/>
        </w:rPr>
        <w:t>Leptogium spp</w:t>
      </w:r>
      <w:r w:rsidRPr="00FC0E5B">
        <w:rPr>
          <w:rFonts w:ascii="Times New Roman" w:eastAsia="MyriadPro-LightCond" w:hAnsi="Times New Roman" w:cs="Times New Roman"/>
        </w:rPr>
        <w:t>.</w:t>
      </w:r>
    </w:p>
    <w:p w:rsidR="009F72F6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b/>
          <w:bCs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eastAsia="MyriadPro-LightCond" w:hAnsi="Times New Roman" w:cs="Times New Roman"/>
          <w:b/>
          <w:bCs/>
        </w:rPr>
        <w:t xml:space="preserve">Vides faktori: </w:t>
      </w:r>
      <w:r w:rsidRPr="00FC0E5B">
        <w:rPr>
          <w:rFonts w:ascii="Times New Roman" w:eastAsia="MyriadPro-LightCond" w:hAnsi="Times New Roman" w:cs="Times New Roman"/>
        </w:rPr>
        <w:t>biotops atrodas upju ielejās un veidojas uz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upju sanesu nogulumiem. Veģetāciju ietekmē pali vai palu izraisītas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gruntsūdens līmeņa svārstības. Bieži novērojami svaigi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palu uznesti smilšu laukumi, dubļiem aplipušas koku pamatnes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u.tml. Biotopa mikroreljefā nereti novērojami izskaloti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padziļinājumi. Ūdeņu tuvums nosaka pastāvīgi </w:t>
      </w:r>
      <w:r>
        <w:rPr>
          <w:rFonts w:ascii="Times New Roman" w:eastAsia="MyriadPro-LightCond" w:hAnsi="Times New Roman" w:cs="Times New Roman"/>
        </w:rPr>
        <w:t>p</w:t>
      </w:r>
      <w:r w:rsidRPr="00FC0E5B">
        <w:rPr>
          <w:rFonts w:ascii="Times New Roman" w:eastAsia="MyriadPro-LightCond" w:hAnsi="Times New Roman" w:cs="Times New Roman"/>
        </w:rPr>
        <w:t>aaugstinātu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gaisa mitrumu.</w:t>
      </w: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eastAsia="MyriadPro-LightCond" w:hAnsi="Times New Roman" w:cs="Times New Roman"/>
          <w:b/>
          <w:bCs/>
        </w:rPr>
        <w:t xml:space="preserve">Procesi ar funkcionālu nozīmi: </w:t>
      </w:r>
      <w:r w:rsidRPr="00FC0E5B">
        <w:rPr>
          <w:rFonts w:ascii="Times New Roman" w:eastAsia="MyriadPro-LightCond" w:hAnsi="Times New Roman" w:cs="Times New Roman"/>
        </w:rPr>
        <w:t>noteicošā ir pašizrobošanās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dinamika. Pali nosaka mikrobiotopu mozaīku mežaudzēs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un laukumu veidā veicina vai kavē noteikta augāja attīstību –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galvenokārt veidojoties sanestu smilšu laukumiem, sanestām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augu atlieku kārtām, izskalotiem padziļinājumiem, kas applūst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biežāk vai dažkārt ir applūduši visu sezonu. Palu ūdeņu caurplūšanai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ir ievērojama loma biotopa vielu apritē un augu izplatīšanā.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Biotops nereti veidojas kā noslēdzošā sukcesijas stadija atsevišķām biotopa 91E0* </w:t>
      </w:r>
      <w:r w:rsidRPr="00FC0E5B">
        <w:rPr>
          <w:rFonts w:ascii="Times New Roman" w:eastAsia="MyriadPro-LightCond" w:hAnsi="Times New Roman" w:cs="Times New Roman"/>
          <w:i/>
          <w:iCs/>
        </w:rPr>
        <w:t>Aluviāli krastmalu un palieņu meži</w:t>
      </w:r>
      <w:r>
        <w:rPr>
          <w:rFonts w:ascii="Times New Roman" w:eastAsia="MyriadPro-LightCond" w:hAnsi="Times New Roman" w:cs="Times New Roman"/>
          <w:i/>
          <w:iCs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variācijām lielāku upju krastos</w:t>
      </w:r>
      <w:r>
        <w:rPr>
          <w:rFonts w:ascii="Times New Roman" w:eastAsia="MyriadPro-LightCond" w:hAnsi="Times New Roman" w:cs="Times New Roman"/>
        </w:rPr>
        <w:t>. D</w:t>
      </w:r>
      <w:r w:rsidRPr="00FC0E5B">
        <w:rPr>
          <w:rFonts w:ascii="Times New Roman" w:eastAsia="MyriadPro-LightCond" w:hAnsi="Times New Roman" w:cs="Times New Roman"/>
        </w:rPr>
        <w:t xml:space="preserve">aļā </w:t>
      </w:r>
      <w:r>
        <w:rPr>
          <w:rFonts w:ascii="Times New Roman" w:eastAsia="MyriadPro-LightCond" w:hAnsi="Times New Roman" w:cs="Times New Roman"/>
        </w:rPr>
        <w:t xml:space="preserve"> mežaudžu</w:t>
      </w:r>
      <w:r w:rsidRPr="00FC0E5B">
        <w:rPr>
          <w:rFonts w:ascii="Times New Roman" w:eastAsia="MyriadPro-LightCond" w:hAnsi="Times New Roman" w:cs="Times New Roman"/>
        </w:rPr>
        <w:t xml:space="preserve"> biotopa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vēsturiskā izcelsme un attīstības stadija saistāma ar agrāk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zemkopībā izmantotu palieņu, t.sk. parkveida ainavu, apmežošanos.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Pēdējā gadījumā biotopā var būt sastopami atsevišķi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elementi – veci klajumu koki, kuru aizsardzības vērtība atkarīga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no klajāku apstākļu uzturēšanas ap tiem.</w:t>
      </w: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</w:p>
    <w:p w:rsidR="009F72F6" w:rsidRPr="00FC0E5B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eastAsia="MyriadPro-LightCond" w:hAnsi="Times New Roman" w:cs="Times New Roman"/>
          <w:b/>
          <w:bCs/>
        </w:rPr>
        <w:lastRenderedPageBreak/>
        <w:t xml:space="preserve">Veģetācijas raksturojums: </w:t>
      </w:r>
      <w:r w:rsidRPr="00FC0E5B">
        <w:rPr>
          <w:rFonts w:ascii="Times New Roman" w:eastAsia="MyriadPro-LightCond" w:hAnsi="Times New Roman" w:cs="Times New Roman"/>
        </w:rPr>
        <w:t>biotops pieder Eiropas platlapju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klases mežiem, tādēļ tā veģetācijai kopumā raksturīgas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šīs mežu klases sugas un izteikts pavasara aspekts. Veģetācijas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struktūru būtiski ietekmē palu sanesu un izskalojumu radītā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apstākļu mozaīka. Raksturīgas kokaugu sugas, kas spēj pārciest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periodisku applūšanu. Mikroreljefa pacēlumos parasti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ir relatīvi biezāks pamežs. Lakstaugu stāvā ievērojama loma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augiem, kas mainīgajos apstākļos spēj ātri ieviesties no jauna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radītajās nišās. Veģetācijas struktūra atkarīga no palu ietekmes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biežuma. Jo tā retāka, jo vairāk saslēgts krūmu un zemsedzes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stāvs </w:t>
      </w:r>
      <w:r w:rsidRPr="00D0716C">
        <w:rPr>
          <w:rFonts w:ascii="Times New Roman" w:eastAsia="MyriadPro-LightCond" w:hAnsi="Times New Roman" w:cs="Times New Roman"/>
        </w:rPr>
        <w:t>(</w:t>
      </w:r>
      <w:r w:rsidRPr="00D0716C">
        <w:rPr>
          <w:rFonts w:ascii="Times New Roman" w:eastAsia="MyriadPro-LightCond" w:hAnsi="Times New Roman" w:cs="Times New Roman"/>
          <w:iCs/>
        </w:rPr>
        <w:t>3. att.</w:t>
      </w:r>
      <w:r w:rsidRPr="00D0716C">
        <w:rPr>
          <w:rFonts w:ascii="Times New Roman" w:eastAsia="MyriadPro-LightCond" w:hAnsi="Times New Roman" w:cs="Times New Roman"/>
        </w:rPr>
        <w:t>).</w:t>
      </w:r>
      <w:r w:rsidRPr="00FC0E5B">
        <w:rPr>
          <w:rFonts w:ascii="Times New Roman" w:eastAsia="MyriadPro-LightCond" w:hAnsi="Times New Roman" w:cs="Times New Roman"/>
        </w:rPr>
        <w:t xml:space="preserve"> Saistībā ar pastāvīgi paaugstināto gaisa mitrumu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koku stumbri bieži ir bagātīgi klāti ar epifītiem. Biotopā ir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gan ēnainas, gan skrajākas vietas vai atklāti laukumi, kas dod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iespēju pastāvēt retu sugu epifītiem, kam nepieciešama gaišu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un augsta gaisa mitruma apstākļu kombinācija. Koku stumbru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lejas daļā, kas palu ietekmē nereti ir aplipusi ar augsnes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daļiņām, var veidoties acīmredzami atšķirīgs epifītisko sūnu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segums, vai, ja palu ietekme ir īpaši bieža, šīs stumbru daļas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ir bez apauguma.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02"/>
        <w:gridCol w:w="4836"/>
      </w:tblGrid>
      <w:tr w:rsidR="009F72F6" w:rsidRPr="00CF24F8" w:rsidTr="0012598C">
        <w:tc>
          <w:tcPr>
            <w:tcW w:w="5240" w:type="dxa"/>
          </w:tcPr>
          <w:p w:rsidR="009F72F6" w:rsidRPr="00D0716C" w:rsidRDefault="009F72F6" w:rsidP="0012598C">
            <w:pPr>
              <w:rPr>
                <w:rFonts w:ascii="Times New Roman" w:eastAsia="MyriadPro-LightCond" w:hAnsi="Times New Roman" w:cs="Times New Roman"/>
              </w:rPr>
            </w:pPr>
          </w:p>
          <w:p w:rsidR="009F72F6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</w:rPr>
            </w:pPr>
            <w:r w:rsidRPr="00FC0E5B">
              <w:rPr>
                <w:rFonts w:ascii="Times New Roman" w:eastAsia="MyriadPro-LightCond" w:hAnsi="Times New Roman" w:cs="Times New Roman"/>
                <w:b/>
                <w:bCs/>
              </w:rPr>
              <w:t xml:space="preserve">Raksturojošās sugas: </w:t>
            </w:r>
            <w:r w:rsidRPr="00FC0E5B">
              <w:rPr>
                <w:rFonts w:ascii="Times New Roman" w:eastAsia="MyriadPro-LightCond" w:hAnsi="Times New Roman" w:cs="Times New Roman"/>
              </w:rPr>
              <w:t>koki un krūmi – parastais ozols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Quercus robur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parastā goba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Ulmus glabra</w:t>
            </w:r>
            <w:r w:rsidRPr="00FC0E5B">
              <w:rPr>
                <w:rFonts w:ascii="Times New Roman" w:eastAsia="MyriadPro-LightCond" w:hAnsi="Times New Roman" w:cs="Times New Roman"/>
              </w:rPr>
              <w:t>, parastā vīksna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U.laevis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parastais osis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Fraxinus excelsior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parastā apse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Populus</w:t>
            </w:r>
            <w:r>
              <w:rPr>
                <w:rFonts w:ascii="Times New Roman" w:eastAsia="MyriadPro-LightCond" w:hAnsi="Times New Roman" w:cs="Times New Roman"/>
                <w:i/>
                <w:iCs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tremula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melnalksnis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Alnus glutinosa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parastā ieva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Padus</w:t>
            </w:r>
            <w:r>
              <w:rPr>
                <w:rFonts w:ascii="Times New Roman" w:eastAsia="MyriadPro-LightCond" w:hAnsi="Times New Roman" w:cs="Times New Roman"/>
                <w:i/>
                <w:iCs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avium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jāņoga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 xml:space="preserve">Ribes </w:t>
            </w:r>
            <w:r>
              <w:rPr>
                <w:rFonts w:ascii="Times New Roman" w:eastAsia="MyriadPro-LightCond" w:hAnsi="Times New Roman" w:cs="Times New Roman"/>
                <w:i/>
                <w:iCs/>
              </w:rPr>
              <w:t xml:space="preserve"> alpinum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parastais sausserdis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Lonicera</w:t>
            </w:r>
            <w:r>
              <w:rPr>
                <w:rFonts w:ascii="Times New Roman" w:eastAsia="MyriadPro-LightCond" w:hAnsi="Times New Roman" w:cs="Times New Roman"/>
                <w:i/>
                <w:iCs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xylosteum</w:t>
            </w:r>
            <w:r w:rsidRPr="00FC0E5B">
              <w:rPr>
                <w:rFonts w:ascii="Times New Roman" w:eastAsia="MyriadPro-LightCond" w:hAnsi="Times New Roman" w:cs="Times New Roman"/>
              </w:rPr>
              <w:t>. Ievērojot mainīgos apstākļus, zemsedzes sastāvs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var būt ļoti dažāds, daudzos gadījumos konstatējams parastais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apinis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Humulus lupulus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blīvguma cīrulītis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Corydalis solida</w:t>
            </w:r>
            <w:r w:rsidRPr="00FC0E5B">
              <w:rPr>
                <w:rFonts w:ascii="Times New Roman" w:eastAsia="MyriadPro-LightCond" w:hAnsi="Times New Roman" w:cs="Times New Roman"/>
              </w:rPr>
              <w:t>,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meža zeltstarīte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 xml:space="preserve">Gagea lutea </w:t>
            </w:r>
            <w:r w:rsidRPr="00FC0E5B">
              <w:rPr>
                <w:rFonts w:ascii="Times New Roman" w:eastAsia="MyriadPro-LightCond" w:hAnsi="Times New Roman" w:cs="Times New Roman"/>
              </w:rPr>
              <w:t>u.c.</w:t>
            </w:r>
          </w:p>
          <w:p w:rsidR="009F72F6" w:rsidRPr="00FC0E5B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</w:rPr>
            </w:pPr>
          </w:p>
          <w:p w:rsidR="009F72F6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</w:rPr>
            </w:pPr>
            <w:r w:rsidRPr="00FC0E5B">
              <w:rPr>
                <w:rFonts w:ascii="Times New Roman" w:eastAsia="MyriadPro-LightCond" w:hAnsi="Times New Roman" w:cs="Times New Roman"/>
                <w:b/>
                <w:bCs/>
              </w:rPr>
              <w:t>Lietussargsugas (tipiskās sugas Biotopu direktīvas</w:t>
            </w:r>
            <w:r>
              <w:rPr>
                <w:rFonts w:ascii="Times New Roman" w:eastAsia="MyriadPro-LightCond" w:hAnsi="Times New Roman" w:cs="Times New Roman"/>
                <w:b/>
                <w:bCs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  <w:b/>
                <w:bCs/>
              </w:rPr>
              <w:t xml:space="preserve">izpratnē):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parastā goba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Ulmus glabra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parastā vīksna </w:t>
            </w:r>
            <w:r w:rsidRPr="00FC0E5B">
              <w:rPr>
                <w:rFonts w:ascii="Times New Roman" w:eastAsia="MyriadPro-LightCond" w:hAnsi="Times New Roman" w:cs="Times New Roman"/>
                <w:i/>
                <w:iCs/>
              </w:rPr>
              <w:t>Ulmus</w:t>
            </w:r>
            <w:r w:rsidRPr="00FC0E5B">
              <w:rPr>
                <w:rFonts w:ascii="Times New Roman" w:hAnsi="Times New Roman" w:cs="Times New Roman"/>
                <w:i/>
                <w:iCs/>
              </w:rPr>
              <w:t xml:space="preserve"> laevis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kažocenes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Anomodon spp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., skleroforas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Schlerphora spp</w:t>
            </w:r>
            <w:r w:rsidRPr="00FC0E5B">
              <w:rPr>
                <w:rFonts w:ascii="Times New Roman" w:eastAsia="MyriadPro-LightCond" w:hAnsi="Times New Roman" w:cs="Times New Roman"/>
              </w:rPr>
              <w:t>.,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kollemas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Collema spp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., parastais plaušķērpis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Lobaria pulmonaria</w:t>
            </w:r>
            <w:r w:rsidRPr="00FC0E5B">
              <w:rPr>
                <w:rFonts w:ascii="Times New Roman" w:eastAsia="MyriadPro-LightCond" w:hAnsi="Times New Roman" w:cs="Times New Roman"/>
              </w:rPr>
              <w:t>,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sīkpunktainā artonija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Arthonia byssacea</w:t>
            </w:r>
            <w:r w:rsidRPr="00FC0E5B">
              <w:rPr>
                <w:rFonts w:ascii="Times New Roman" w:eastAsia="MyriadPro-LightCond" w:hAnsi="Times New Roman" w:cs="Times New Roman"/>
              </w:rPr>
              <w:t>, koraļļveida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parmeliella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Parmeliella triptophylla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dzeltenīgā pertusārija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Pertusaria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flavida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, vārpstiņgliemeži </w:t>
            </w:r>
            <w:r w:rsidRPr="00FC0E5B">
              <w:rPr>
                <w:rFonts w:ascii="Times New Roman" w:hAnsi="Times New Roman" w:cs="Times New Roman"/>
                <w:i/>
                <w:iCs/>
              </w:rPr>
              <w:t>Clausilidae</w:t>
            </w:r>
            <w:r w:rsidRPr="00FC0E5B">
              <w:rPr>
                <w:rFonts w:ascii="Times New Roman" w:eastAsia="MyriadPro-LightCond" w:hAnsi="Times New Roman" w:cs="Times New Roman"/>
              </w:rPr>
              <w:t>.</w:t>
            </w:r>
          </w:p>
          <w:p w:rsidR="009F72F6" w:rsidRPr="00FC0E5B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</w:rPr>
            </w:pPr>
          </w:p>
          <w:p w:rsidR="009F72F6" w:rsidRPr="00FC0E5B" w:rsidRDefault="009F72F6" w:rsidP="0012598C">
            <w:pPr>
              <w:autoSpaceDE w:val="0"/>
              <w:autoSpaceDN w:val="0"/>
              <w:adjustRightInd w:val="0"/>
              <w:rPr>
                <w:rFonts w:ascii="Times New Roman" w:eastAsia="MyriadPro-LightCond" w:hAnsi="Times New Roman" w:cs="Times New Roman"/>
              </w:rPr>
            </w:pPr>
            <w:r w:rsidRPr="00FC0E5B">
              <w:rPr>
                <w:rFonts w:ascii="Times New Roman" w:hAnsi="Times New Roman" w:cs="Times New Roman"/>
                <w:b/>
                <w:bCs/>
              </w:rPr>
              <w:t xml:space="preserve">Varianti: </w:t>
            </w:r>
            <w:r w:rsidRPr="00FC0E5B">
              <w:rPr>
                <w:rFonts w:ascii="Times New Roman" w:eastAsia="MyriadPro-LightCond" w:hAnsi="Times New Roman" w:cs="Times New Roman"/>
              </w:rPr>
              <w:t>nav.</w:t>
            </w:r>
          </w:p>
          <w:p w:rsidR="009F72F6" w:rsidRDefault="009F72F6" w:rsidP="00125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9F72F6" w:rsidRPr="00FC0E5B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0E5B">
              <w:rPr>
                <w:rFonts w:ascii="Times New Roman" w:hAnsi="Times New Roman" w:cs="Times New Roman"/>
                <w:b/>
                <w:bCs/>
              </w:rPr>
              <w:t>Biotopa kvalitāte</w:t>
            </w:r>
          </w:p>
          <w:p w:rsidR="009F72F6" w:rsidRPr="00D0716C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</w:rPr>
            </w:pPr>
            <w:r w:rsidRPr="00CF24F8">
              <w:rPr>
                <w:rFonts w:ascii="Times New Roman" w:hAnsi="Times New Roman" w:cs="Times New Roman"/>
                <w:b/>
                <w:i/>
                <w:iCs/>
              </w:rPr>
              <w:t>Minimālās prasības biotopam:</w:t>
            </w:r>
            <w:r w:rsidRPr="00FC0E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biotopam jāatrodas lielas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upes (kā norādīts apakšnodaļā „Biotopa īpatnības Latvijā”)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regulāri applūstošā palienē vai palu izraisīto </w:t>
            </w:r>
            <w:r>
              <w:rPr>
                <w:rFonts w:ascii="Times New Roman" w:eastAsia="MyriadPro-LightCond" w:hAnsi="Times New Roman" w:cs="Times New Roman"/>
              </w:rPr>
              <w:t xml:space="preserve">pazemes ūdeņu </w:t>
            </w:r>
            <w:r w:rsidRPr="00FC0E5B">
              <w:rPr>
                <w:rFonts w:ascii="Times New Roman" w:eastAsia="MyriadPro-LightCond" w:hAnsi="Times New Roman" w:cs="Times New Roman"/>
              </w:rPr>
              <w:t>svārstību regulāri ietekmētā vietā. Par palu regulāri ietekmētām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uzskatāmas arī tādas mežaudzes, kur regulāri applūst tikai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>biotopā esoši reljefa pazeminājumi, vai tādas, kas ar tām robežojas,</w:t>
            </w:r>
            <w:r>
              <w:rPr>
                <w:rFonts w:ascii="Times New Roman" w:eastAsia="MyriadPro-LightCond" w:hAnsi="Times New Roman" w:cs="Times New Roman"/>
              </w:rPr>
              <w:t xml:space="preserve"> </w:t>
            </w:r>
            <w:r w:rsidRPr="00FC0E5B">
              <w:rPr>
                <w:rFonts w:ascii="Times New Roman" w:eastAsia="MyriadPro-LightCond" w:hAnsi="Times New Roman" w:cs="Times New Roman"/>
              </w:rPr>
              <w:t xml:space="preserve">– </w:t>
            </w:r>
          </w:p>
        </w:tc>
        <w:tc>
          <w:tcPr>
            <w:tcW w:w="402" w:type="dxa"/>
          </w:tcPr>
          <w:p w:rsidR="009F72F6" w:rsidRPr="00CF24F8" w:rsidRDefault="009F72F6" w:rsidP="0012598C">
            <w:pPr>
              <w:autoSpaceDE w:val="0"/>
              <w:autoSpaceDN w:val="0"/>
              <w:adjustRightInd w:val="0"/>
              <w:rPr>
                <w:rFonts w:ascii="Times New Roman" w:eastAsia="MyriadPro-LightCond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36" w:type="dxa"/>
          </w:tcPr>
          <w:p w:rsidR="009F72F6" w:rsidRDefault="009F72F6" w:rsidP="0012598C">
            <w:pPr>
              <w:rPr>
                <w:rFonts w:ascii="Times New Roman" w:eastAsia="MyriadPro-LightCond" w:hAnsi="Times New Roman" w:cs="Times New Roman"/>
                <w:noProof/>
                <w:sz w:val="16"/>
                <w:szCs w:val="16"/>
                <w:lang w:eastAsia="lv-LV"/>
              </w:rPr>
            </w:pPr>
            <w:r w:rsidRPr="00CF24F8">
              <w:rPr>
                <w:rFonts w:ascii="Times New Roman" w:eastAsia="MyriadPro-LightCond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3875724F" wp14:editId="0CAF18E5">
                  <wp:extent cx="2858770" cy="189213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522" cy="189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2F6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noProof/>
                <w:sz w:val="16"/>
                <w:szCs w:val="16"/>
                <w:lang w:eastAsia="lv-LV"/>
              </w:rPr>
            </w:pPr>
            <w:r w:rsidRPr="00CF24F8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2. att.</w:t>
            </w:r>
            <w:r w:rsidRPr="00CF24F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>Pavasara palu regulāri ietekmēts biotops aizsargājamo</w:t>
            </w:r>
            <w:r>
              <w:rPr>
                <w:rFonts w:ascii="Times New Roman" w:eastAsia="MyriadPro-LightCond" w:hAnsi="Times New Roman" w:cs="Times New Roman"/>
                <w:sz w:val="16"/>
                <w:szCs w:val="16"/>
              </w:rPr>
              <w:t xml:space="preserve"> </w:t>
            </w: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>ainavu apvidū „Ziemeļgauja” (Foto: V.Lārmanis)</w:t>
            </w:r>
          </w:p>
          <w:p w:rsidR="009F72F6" w:rsidRDefault="009F72F6" w:rsidP="0012598C">
            <w:pPr>
              <w:rPr>
                <w:rFonts w:ascii="Times New Roman" w:eastAsia="MyriadPro-LightCond" w:hAnsi="Times New Roman" w:cs="Times New Roman"/>
                <w:noProof/>
                <w:sz w:val="16"/>
                <w:szCs w:val="16"/>
                <w:lang w:eastAsia="lv-LV"/>
              </w:rPr>
            </w:pPr>
          </w:p>
          <w:p w:rsidR="009F72F6" w:rsidRPr="00CF24F8" w:rsidRDefault="009F72F6" w:rsidP="0012598C">
            <w:pPr>
              <w:rPr>
                <w:rFonts w:ascii="Times New Roman" w:eastAsia="MyriadPro-LightCond" w:hAnsi="Times New Roman" w:cs="Times New Roman"/>
                <w:sz w:val="16"/>
                <w:szCs w:val="16"/>
              </w:rPr>
            </w:pPr>
            <w:r w:rsidRPr="00CF24F8">
              <w:rPr>
                <w:rFonts w:ascii="Times New Roman" w:eastAsia="MyriadPro-LightCond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345AB4A7" wp14:editId="16D12BA2">
                  <wp:extent cx="2859024" cy="191350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793" cy="192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2F6" w:rsidRPr="00CF24F8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16"/>
                <w:szCs w:val="16"/>
              </w:rPr>
            </w:pPr>
            <w:r w:rsidRPr="00CF24F8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3. att.</w:t>
            </w:r>
            <w:r w:rsidRPr="00CF24F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>Biotops, kura veģetāciju palu ūdeņi tiešā veidā ietekmējuši reti.</w:t>
            </w:r>
          </w:p>
          <w:p w:rsidR="009F72F6" w:rsidRPr="00D0716C" w:rsidRDefault="009F72F6" w:rsidP="0012598C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16"/>
                <w:szCs w:val="16"/>
              </w:rPr>
            </w:pP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>Attēlā redzamā vieta Valkas pagastā pie Gaujas pirms vairākām desmitgadēm</w:t>
            </w:r>
            <w:r>
              <w:rPr>
                <w:rFonts w:ascii="Times New Roman" w:eastAsia="MyriadPro-LightCond" w:hAnsi="Times New Roman" w:cs="Times New Roman"/>
                <w:sz w:val="16"/>
                <w:szCs w:val="16"/>
              </w:rPr>
              <w:t xml:space="preserve"> </w:t>
            </w: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>izmantota kā meža ganības. Pēc detalizētāka izvērtējuma konstatēts, ka biotopa</w:t>
            </w:r>
            <w:r>
              <w:rPr>
                <w:rFonts w:ascii="Times New Roman" w:eastAsia="MyriadPro-LightCond" w:hAnsi="Times New Roman" w:cs="Times New Roman"/>
                <w:sz w:val="16"/>
                <w:szCs w:val="16"/>
              </w:rPr>
              <w:t xml:space="preserve"> </w:t>
            </w: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>aizsardzības vērtība vairāk saistās ar ilgstoši stabila meža situāciju, tādēļ biotops</w:t>
            </w:r>
            <w:r>
              <w:rPr>
                <w:rFonts w:ascii="Times New Roman" w:eastAsia="MyriadPro-LightCond" w:hAnsi="Times New Roman" w:cs="Times New Roman"/>
                <w:sz w:val="16"/>
                <w:szCs w:val="16"/>
              </w:rPr>
              <w:t xml:space="preserve"> </w:t>
            </w: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 xml:space="preserve">pieskaitāms 91F0, nevis 6530* </w:t>
            </w:r>
            <w:r w:rsidRPr="00CF24F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Parkveida pļavas un ganības </w:t>
            </w:r>
            <w:r w:rsidRPr="00CF24F8">
              <w:rPr>
                <w:rFonts w:ascii="Times New Roman" w:eastAsia="MyriadPro-LightCond" w:hAnsi="Times New Roman" w:cs="Times New Roman"/>
                <w:sz w:val="16"/>
                <w:szCs w:val="16"/>
              </w:rPr>
              <w:t>(Foto: V.Lārmanis)</w:t>
            </w:r>
          </w:p>
        </w:tc>
      </w:tr>
    </w:tbl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  <w:b/>
          <w:bCs/>
        </w:rPr>
      </w:pPr>
      <w:r w:rsidRPr="00FC0E5B">
        <w:rPr>
          <w:rFonts w:ascii="Times New Roman" w:eastAsia="MyriadPro-LightCond" w:hAnsi="Times New Roman" w:cs="Times New Roman"/>
        </w:rPr>
        <w:t>pārējā platība var būt reti applūstoša, bez vai ar vāji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izteiktām pazīmēm, kas pierāda palu tiešu ietekmi virszemē.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Skaitot pirmo un otro koku stāvu kopā, mežaudzē noteicošajai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jābūt kādai no šīm koku sugām vai to mistrojumam: parastā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goba </w:t>
      </w:r>
      <w:r w:rsidRPr="00FC0E5B">
        <w:rPr>
          <w:rFonts w:ascii="Times New Roman" w:hAnsi="Times New Roman" w:cs="Times New Roman"/>
          <w:i/>
          <w:iCs/>
        </w:rPr>
        <w:t>Ulmus glabra</w:t>
      </w:r>
      <w:r w:rsidRPr="00FC0E5B">
        <w:rPr>
          <w:rFonts w:ascii="Times New Roman" w:eastAsia="MyriadPro-LightCond" w:hAnsi="Times New Roman" w:cs="Times New Roman"/>
        </w:rPr>
        <w:t xml:space="preserve">, parastā vīksna </w:t>
      </w:r>
      <w:r w:rsidRPr="00FC0E5B">
        <w:rPr>
          <w:rFonts w:ascii="Times New Roman" w:hAnsi="Times New Roman" w:cs="Times New Roman"/>
          <w:i/>
          <w:iCs/>
        </w:rPr>
        <w:t>Ulmus laevis</w:t>
      </w:r>
      <w:r w:rsidRPr="00FC0E5B">
        <w:rPr>
          <w:rFonts w:ascii="Times New Roman" w:eastAsia="MyriadPro-LightCond" w:hAnsi="Times New Roman" w:cs="Times New Roman"/>
        </w:rPr>
        <w:t>, parastais osis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hAnsi="Times New Roman" w:cs="Times New Roman"/>
          <w:i/>
          <w:iCs/>
        </w:rPr>
        <w:t>Fraxinus excelsior</w:t>
      </w:r>
      <w:r w:rsidRPr="00FC0E5B">
        <w:rPr>
          <w:rFonts w:ascii="Times New Roman" w:eastAsia="MyriadPro-LightCond" w:hAnsi="Times New Roman" w:cs="Times New Roman"/>
        </w:rPr>
        <w:t xml:space="preserve">, parastais ozols </w:t>
      </w:r>
      <w:r w:rsidRPr="00FC0E5B">
        <w:rPr>
          <w:rFonts w:ascii="Times New Roman" w:hAnsi="Times New Roman" w:cs="Times New Roman"/>
          <w:i/>
          <w:iCs/>
        </w:rPr>
        <w:t>Quercus robur</w:t>
      </w:r>
      <w:r w:rsidRPr="00FC0E5B">
        <w:rPr>
          <w:rFonts w:ascii="Times New Roman" w:eastAsia="MyriadPro-LightCond" w:hAnsi="Times New Roman" w:cs="Times New Roman"/>
        </w:rPr>
        <w:t>.</w:t>
      </w:r>
    </w:p>
    <w:p w:rsidR="009F72F6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b/>
          <w:bCs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CF24F8">
        <w:rPr>
          <w:rFonts w:ascii="Times New Roman" w:hAnsi="Times New Roman" w:cs="Times New Roman"/>
          <w:b/>
          <w:i/>
          <w:iCs/>
        </w:rPr>
        <w:t>Struktūras indikatori:</w:t>
      </w:r>
      <w:r w:rsidRPr="00FC0E5B">
        <w:rPr>
          <w:rFonts w:ascii="Times New Roman" w:hAnsi="Times New Roman" w:cs="Times New Roman"/>
          <w:i/>
          <w:iCs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visi meža biotopiem kopīgie indikatori;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papildu indikators – platlapju koku sugu bagātība.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hAnsi="Times New Roman" w:cs="Times New Roman"/>
          <w:i/>
          <w:iCs/>
        </w:rPr>
        <w:t xml:space="preserve">Funkciju un procesu indikatori: </w:t>
      </w:r>
      <w:r w:rsidRPr="00FC0E5B">
        <w:rPr>
          <w:rFonts w:ascii="Times New Roman" w:eastAsia="MyriadPro-LightCond" w:hAnsi="Times New Roman" w:cs="Times New Roman"/>
        </w:rPr>
        <w:t>visi meža biotopiem kopīgie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indikatori; papildu indikatori – ganīšanas ietekme, palu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ietekme.</w:t>
      </w: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CF24F8">
        <w:rPr>
          <w:rFonts w:ascii="Times New Roman" w:hAnsi="Times New Roman" w:cs="Times New Roman"/>
          <w:b/>
          <w:i/>
          <w:iCs/>
        </w:rPr>
        <w:lastRenderedPageBreak/>
        <w:t>Atjaunošanas iespēju un kvalitātes uzlabošanas indikatori: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atjaunošanai parasti nav nepieciešama. Ja biotopā ir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vērtības, kas atkarīgas no atsevišķiem veciem klajumu kokiem,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kuriem nepieciešama apsaimniekošana, tad atjaunošanas iespējas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novērtē tāpat kā visiem meža biotopiem.</w:t>
      </w: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/>
          <w:bCs/>
        </w:rPr>
        <w:t xml:space="preserve">Apdraudošie faktori: </w:t>
      </w:r>
      <w:r w:rsidRPr="00FC0E5B">
        <w:rPr>
          <w:rFonts w:ascii="Times New Roman" w:eastAsia="MyriadPro-LightCond" w:hAnsi="Times New Roman" w:cs="Times New Roman"/>
        </w:rPr>
        <w:t>iespējami visi meža biotopus apdraudošie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faktori.</w:t>
      </w:r>
    </w:p>
    <w:p w:rsidR="009F72F6" w:rsidRDefault="009F72F6" w:rsidP="009F72F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F72F6" w:rsidRPr="00FC0E5B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/>
          <w:bCs/>
        </w:rPr>
        <w:t xml:space="preserve">Apsaimniekošana: </w:t>
      </w:r>
      <w:r w:rsidRPr="00FC0E5B">
        <w:rPr>
          <w:rFonts w:ascii="Times New Roman" w:eastAsia="MyriadPro-LightCond" w:hAnsi="Times New Roman" w:cs="Times New Roman"/>
        </w:rPr>
        <w:t>vairumā gadījumu speciāla apsaimniekošana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nav nepieciešama, piemērotākais risinājums ir biotopu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atstāt netraucētai attīstībai</w:t>
      </w:r>
      <w:r>
        <w:rPr>
          <w:rFonts w:ascii="Times New Roman" w:eastAsia="MyriadPro-LightCond" w:hAnsi="Times New Roman" w:cs="Times New Roman"/>
        </w:rPr>
        <w:t xml:space="preserve"> (Ikauniece, 2016)</w:t>
      </w:r>
      <w:r w:rsidRPr="00FC0E5B">
        <w:rPr>
          <w:rFonts w:ascii="Times New Roman" w:eastAsia="MyriadPro-LightCond" w:hAnsi="Times New Roman" w:cs="Times New Roman"/>
        </w:rPr>
        <w:t>. Ja biotopā ir vērtības, kas atkarīgas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no atsevišķiem seniem klajumu kokiem, tad piemērojama nevēlamo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koku un krūmu izciršana ap atsevišķiem īpaši nozīmīgiem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kokiem. Dažkārt sastopamas </w:t>
      </w:r>
      <w:r>
        <w:rPr>
          <w:rFonts w:ascii="Times New Roman" w:eastAsia="MyriadPro-LightCond" w:hAnsi="Times New Roman" w:cs="Times New Roman"/>
        </w:rPr>
        <w:t xml:space="preserve"> mežaudzes</w:t>
      </w:r>
      <w:r w:rsidRPr="00FC0E5B">
        <w:rPr>
          <w:rFonts w:ascii="Times New Roman" w:eastAsia="MyriadPro-LightCond" w:hAnsi="Times New Roman" w:cs="Times New Roman"/>
        </w:rPr>
        <w:t>, kur</w:t>
      </w:r>
      <w:r>
        <w:rPr>
          <w:rFonts w:ascii="Times New Roman" w:eastAsia="MyriadPro-LightCond" w:hAnsi="Times New Roman" w:cs="Times New Roman"/>
        </w:rPr>
        <w:t>ās</w:t>
      </w:r>
      <w:r w:rsidRPr="00FC0E5B">
        <w:rPr>
          <w:rFonts w:ascii="Times New Roman" w:eastAsia="MyriadPro-LightCond" w:hAnsi="Times New Roman" w:cs="Times New Roman"/>
        </w:rPr>
        <w:t xml:space="preserve"> biotops 91F0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vēsturiski ir attīstījies no biotopa 6530* </w:t>
      </w:r>
      <w:r w:rsidRPr="00FC0E5B">
        <w:rPr>
          <w:rFonts w:ascii="Times New Roman" w:hAnsi="Times New Roman" w:cs="Times New Roman"/>
          <w:i/>
          <w:iCs/>
        </w:rPr>
        <w:t>Parkveida pļavas un</w:t>
      </w:r>
      <w:r>
        <w:rPr>
          <w:rFonts w:ascii="Times New Roman" w:hAnsi="Times New Roman" w:cs="Times New Roman"/>
          <w:i/>
          <w:iCs/>
        </w:rPr>
        <w:t xml:space="preserve"> </w:t>
      </w:r>
      <w:r w:rsidRPr="00FC0E5B">
        <w:rPr>
          <w:rFonts w:ascii="Times New Roman" w:hAnsi="Times New Roman" w:cs="Times New Roman"/>
          <w:i/>
          <w:iCs/>
        </w:rPr>
        <w:t xml:space="preserve">ganības </w:t>
      </w:r>
      <w:r w:rsidRPr="00FC0E5B">
        <w:rPr>
          <w:rFonts w:ascii="Times New Roman" w:eastAsia="MyriadPro-LightCond" w:hAnsi="Times New Roman" w:cs="Times New Roman"/>
        </w:rPr>
        <w:t xml:space="preserve">(9070 </w:t>
      </w:r>
      <w:r w:rsidRPr="00FC0E5B">
        <w:rPr>
          <w:rFonts w:ascii="Times New Roman" w:hAnsi="Times New Roman" w:cs="Times New Roman"/>
          <w:i/>
          <w:iCs/>
        </w:rPr>
        <w:t>Meža ganības</w:t>
      </w:r>
      <w:r w:rsidRPr="00FC0E5B">
        <w:rPr>
          <w:rFonts w:ascii="Times New Roman" w:eastAsia="MyriadPro-LightCond" w:hAnsi="Times New Roman" w:cs="Times New Roman"/>
        </w:rPr>
        <w:t>), un ir jāizšķiras, kas konkrētajā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situācijā no dabas aizsardzības viedokļa ir svarīgāk – vai ļaut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turpināt attīstīties mežam vai arī atjaunot parkveida ainavu.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Tādā gadījumā jāveic izvērtējums plašākā kontekstā, ņemot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vērā, kādām apdraudētajām sugām tā kalpo, jānoskaidro, vai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šī vieta ir nozīmīgāka/neaizstājamāka saslēgta meža vai parkveida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ainavas vērtībām.</w:t>
      </w:r>
    </w:p>
    <w:p w:rsidR="009F72F6" w:rsidRDefault="009F72F6" w:rsidP="009F72F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F72F6" w:rsidRDefault="009F72F6" w:rsidP="009F72F6">
      <w:pPr>
        <w:autoSpaceDE w:val="0"/>
        <w:autoSpaceDN w:val="0"/>
        <w:adjustRightInd w:val="0"/>
        <w:jc w:val="both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/>
          <w:bCs/>
        </w:rPr>
        <w:t xml:space="preserve">Līdzīgie biotopi: </w:t>
      </w:r>
      <w:r w:rsidRPr="00FC0E5B">
        <w:rPr>
          <w:rFonts w:ascii="Times New Roman" w:eastAsia="MyriadPro-LightCond" w:hAnsi="Times New Roman" w:cs="Times New Roman"/>
        </w:rPr>
        <w:t>tā kā biotops var būt vēlīnāka sukcesijas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stadija atsevišķām biotopa 91E0* </w:t>
      </w:r>
      <w:r w:rsidRPr="00FC0E5B">
        <w:rPr>
          <w:rFonts w:ascii="Times New Roman" w:hAnsi="Times New Roman" w:cs="Times New Roman"/>
          <w:i/>
          <w:iCs/>
        </w:rPr>
        <w:t>Aluviāli krastmalu un palieņu</w:t>
      </w:r>
      <w:r>
        <w:rPr>
          <w:rFonts w:ascii="Times New Roman" w:hAnsi="Times New Roman" w:cs="Times New Roman"/>
          <w:i/>
          <w:iCs/>
        </w:rPr>
        <w:t xml:space="preserve"> </w:t>
      </w:r>
      <w:r w:rsidRPr="00FC0E5B">
        <w:rPr>
          <w:rFonts w:ascii="Times New Roman" w:hAnsi="Times New Roman" w:cs="Times New Roman"/>
          <w:i/>
          <w:iCs/>
        </w:rPr>
        <w:t xml:space="preserve">meži </w:t>
      </w:r>
      <w:r w:rsidRPr="00FC0E5B">
        <w:rPr>
          <w:rFonts w:ascii="Times New Roman" w:eastAsia="MyriadPro-LightCond" w:hAnsi="Times New Roman" w:cs="Times New Roman"/>
        </w:rPr>
        <w:t>variācijām, pārejas stadijās var būt grūtības šo biotopu atšķiršanā.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Šajā gadījumā lielākā praktiskā nozīme ir gobu, vīksnu,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ozolu un ošu kopējā īpatsvara dominēšanai koku stāvā. Ievērojot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šo biotopu ciešo ekoloģisko radniecību, no dabas aizsardzības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viedokļa pārejas gadījumos situācijas pieskaitīšana vienam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vai otram biotopam ir otršķirīga. Palie</w:t>
      </w:r>
      <w:r>
        <w:rPr>
          <w:rFonts w:ascii="Times New Roman" w:eastAsia="MyriadPro-LightCond" w:hAnsi="Times New Roman" w:cs="Times New Roman"/>
        </w:rPr>
        <w:t xml:space="preserve">nēs </w:t>
      </w:r>
      <w:r w:rsidRPr="00FC0E5B">
        <w:rPr>
          <w:rFonts w:ascii="Times New Roman" w:eastAsia="MyriadPro-LightCond" w:hAnsi="Times New Roman" w:cs="Times New Roman"/>
        </w:rPr>
        <w:t xml:space="preserve"> līdzīgs var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būt biotops 9160 </w:t>
      </w:r>
      <w:r w:rsidRPr="00FC0E5B">
        <w:rPr>
          <w:rFonts w:ascii="Times New Roman" w:hAnsi="Times New Roman" w:cs="Times New Roman"/>
          <w:i/>
          <w:iCs/>
        </w:rPr>
        <w:t>Ozolu meži</w:t>
      </w:r>
      <w:r w:rsidRPr="00FC0E5B">
        <w:rPr>
          <w:rFonts w:ascii="Times New Roman" w:eastAsia="MyriadPro-LightCond" w:hAnsi="Times New Roman" w:cs="Times New Roman"/>
        </w:rPr>
        <w:t>. Te jāņem vērā, ka 9160 gadījumā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ozolu īpatsvaram kokaudzē jābūt 50% vai vairāk. Būtiska arī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palu ietekmes nozīme. Ja raksturīgs palu ietekmēts mikroreljefs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un veģetācijas struktūra (kā aprakstīts apakšnodaļās „Procesi ar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funkcionālu nozīmi” un „Veģetācijas raksturojums”) un to ietekmē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izteikti veidojies pameža un zemsedzes sugu sastāvs, biotopam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91F0 var būt pieskaitāmas arī mežaudzes ar lielāku nekā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50% pirmā stāva ozolu īpatsvaru, īpaši, ja kokaudzes otrajā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stāvā izteikti dominē citas platlap</w:t>
      </w:r>
      <w:r>
        <w:rPr>
          <w:rFonts w:ascii="Times New Roman" w:eastAsia="MyriadPro-LightCond" w:hAnsi="Times New Roman" w:cs="Times New Roman"/>
        </w:rPr>
        <w:t>j</w:t>
      </w:r>
      <w:r w:rsidRPr="00FC0E5B">
        <w:rPr>
          <w:rFonts w:ascii="Times New Roman" w:eastAsia="MyriadPro-LightCond" w:hAnsi="Times New Roman" w:cs="Times New Roman"/>
        </w:rPr>
        <w:t>u koku sugas. Dažkārt var būt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 xml:space="preserve">grūtības biotopu 91F0 atšķirt no </w:t>
      </w:r>
      <w:r>
        <w:rPr>
          <w:rFonts w:ascii="Times New Roman" w:eastAsia="MyriadPro-LightCond" w:hAnsi="Times New Roman" w:cs="Times New Roman"/>
        </w:rPr>
        <w:t>senākiem</w:t>
      </w:r>
      <w:r w:rsidRPr="00FC0E5B">
        <w:rPr>
          <w:rFonts w:ascii="Times New Roman" w:eastAsia="MyriadPro-LightCond" w:hAnsi="Times New Roman" w:cs="Times New Roman"/>
        </w:rPr>
        <w:t xml:space="preserve"> biotop</w:t>
      </w:r>
      <w:r>
        <w:rPr>
          <w:rFonts w:ascii="Times New Roman" w:eastAsia="MyriadPro-LightCond" w:hAnsi="Times New Roman" w:cs="Times New Roman"/>
        </w:rPr>
        <w:t>iem</w:t>
      </w:r>
      <w:r w:rsidRPr="00FC0E5B">
        <w:rPr>
          <w:rFonts w:ascii="Times New Roman" w:eastAsia="MyriadPro-LightCond" w:hAnsi="Times New Roman" w:cs="Times New Roman"/>
        </w:rPr>
        <w:t xml:space="preserve"> 6530* </w:t>
      </w:r>
      <w:r w:rsidRPr="00FC0E5B">
        <w:rPr>
          <w:rFonts w:ascii="Times New Roman" w:hAnsi="Times New Roman" w:cs="Times New Roman"/>
          <w:i/>
          <w:iCs/>
        </w:rPr>
        <w:t>Parkveida</w:t>
      </w:r>
      <w:r>
        <w:rPr>
          <w:rFonts w:ascii="Times New Roman" w:hAnsi="Times New Roman" w:cs="Times New Roman"/>
          <w:i/>
          <w:iCs/>
        </w:rPr>
        <w:t xml:space="preserve"> </w:t>
      </w:r>
      <w:r w:rsidRPr="00FC0E5B">
        <w:rPr>
          <w:rFonts w:ascii="Times New Roman" w:hAnsi="Times New Roman" w:cs="Times New Roman"/>
          <w:i/>
          <w:iCs/>
        </w:rPr>
        <w:t xml:space="preserve">pļavas un ganības </w:t>
      </w:r>
      <w:r w:rsidRPr="00FC0E5B">
        <w:rPr>
          <w:rFonts w:ascii="Times New Roman" w:eastAsia="MyriadPro-LightCond" w:hAnsi="Times New Roman" w:cs="Times New Roman"/>
        </w:rPr>
        <w:t>, kas ilgāku laiku ieauguš</w:t>
      </w:r>
      <w:r>
        <w:rPr>
          <w:rFonts w:ascii="Times New Roman" w:eastAsia="MyriadPro-LightCond" w:hAnsi="Times New Roman" w:cs="Times New Roman"/>
        </w:rPr>
        <w:t xml:space="preserve">i </w:t>
      </w:r>
      <w:r w:rsidRPr="00D0716C">
        <w:rPr>
          <w:rFonts w:ascii="Times New Roman" w:eastAsia="MyriadPro-LightCond" w:hAnsi="Times New Roman" w:cs="Times New Roman"/>
        </w:rPr>
        <w:t>mežā (</w:t>
      </w:r>
      <w:r w:rsidRPr="00D0716C">
        <w:rPr>
          <w:rFonts w:ascii="Times New Roman" w:hAnsi="Times New Roman" w:cs="Times New Roman"/>
          <w:iCs/>
        </w:rPr>
        <w:t>3. att.</w:t>
      </w:r>
      <w:r w:rsidRPr="00D0716C">
        <w:rPr>
          <w:rFonts w:ascii="Times New Roman" w:eastAsia="MyriadPro-LightCond" w:hAnsi="Times New Roman" w:cs="Times New Roman"/>
        </w:rPr>
        <w:t>).</w:t>
      </w:r>
      <w:r w:rsidRPr="00FC0E5B">
        <w:rPr>
          <w:rFonts w:ascii="Times New Roman" w:eastAsia="MyriadPro-LightCond" w:hAnsi="Times New Roman" w:cs="Times New Roman"/>
        </w:rPr>
        <w:t xml:space="preserve"> Ieteikumi, kā atšķirt mežā ieaugušu biotopu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6530* no tāda, kas būtu jāklasificē kā mežs, doti 6530* aprakstā</w:t>
      </w:r>
      <w:r>
        <w:rPr>
          <w:rFonts w:ascii="Times New Roman" w:eastAsia="MyriadPro-LightCond" w:hAnsi="Times New Roman" w:cs="Times New Roman"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apakšnodaļā „Minimālās prasības biotopam”.</w:t>
      </w: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/>
          <w:bCs/>
        </w:rPr>
        <w:t xml:space="preserve">Pārklāšanās ar citiem ES biotopiem: </w:t>
      </w:r>
      <w:r w:rsidRPr="00FC0E5B">
        <w:rPr>
          <w:rFonts w:ascii="Times New Roman" w:eastAsia="MyriadPro-LightCond" w:hAnsi="Times New Roman" w:cs="Times New Roman"/>
        </w:rPr>
        <w:t>nav.</w:t>
      </w:r>
    </w:p>
    <w:p w:rsidR="009F72F6" w:rsidRDefault="009F72F6" w:rsidP="009F72F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F72F6" w:rsidRPr="00FC0E5B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</w:rPr>
      </w:pPr>
      <w:r w:rsidRPr="00FC0E5B">
        <w:rPr>
          <w:rFonts w:ascii="Times New Roman" w:hAnsi="Times New Roman" w:cs="Times New Roman"/>
          <w:b/>
          <w:bCs/>
        </w:rPr>
        <w:t>Atbilstošie Latvijas īpaši aizsargājamie biotopi:</w:t>
      </w:r>
      <w:r>
        <w:rPr>
          <w:rFonts w:ascii="Times New Roman" w:hAnsi="Times New Roman" w:cs="Times New Roman"/>
          <w:b/>
          <w:bCs/>
        </w:rPr>
        <w:t xml:space="preserve"> </w:t>
      </w:r>
      <w:r w:rsidRPr="00FC0E5B">
        <w:rPr>
          <w:rFonts w:ascii="Times New Roman" w:eastAsia="MyriadPro-LightCond" w:hAnsi="Times New Roman" w:cs="Times New Roman"/>
        </w:rPr>
        <w:t>1.5. Jaukti ozolu, gobu un ošu meži upju krastos.</w:t>
      </w:r>
    </w:p>
    <w:p w:rsidR="009F72F6" w:rsidRPr="00FC0E5B" w:rsidRDefault="009F72F6" w:rsidP="009F72F6">
      <w:pPr>
        <w:rPr>
          <w:rFonts w:ascii="Times New Roman" w:eastAsia="MyriadPro-LightCond" w:hAnsi="Times New Roman" w:cs="Times New Roman"/>
          <w:color w:val="000000"/>
          <w:sz w:val="18"/>
          <w:szCs w:val="18"/>
        </w:rPr>
      </w:pPr>
    </w:p>
    <w:p w:rsidR="009F72F6" w:rsidRPr="00FC0E5B" w:rsidRDefault="009F72F6" w:rsidP="009F72F6">
      <w:pPr>
        <w:rPr>
          <w:rFonts w:ascii="Times New Roman" w:eastAsia="MyriadPro-LightCond" w:hAnsi="Times New Roman" w:cs="Times New Roman"/>
          <w:color w:val="000000"/>
          <w:sz w:val="18"/>
          <w:szCs w:val="18"/>
        </w:rPr>
      </w:pPr>
    </w:p>
    <w:p w:rsidR="009F72F6" w:rsidRPr="00D0716C" w:rsidRDefault="009F72F6" w:rsidP="009F72F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6"/>
          <w:szCs w:val="16"/>
        </w:rPr>
      </w:pPr>
      <w:r w:rsidRPr="00D0716C">
        <w:rPr>
          <w:rFonts w:ascii="Times New Roman" w:hAnsi="Times New Roman" w:cs="Times New Roman"/>
          <w:b/>
          <w:bCs/>
          <w:sz w:val="16"/>
          <w:szCs w:val="16"/>
        </w:rPr>
        <w:t>Literatūra</w:t>
      </w:r>
    </w:p>
    <w:p w:rsidR="009F72F6" w:rsidRPr="00D0716C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sz w:val="16"/>
          <w:szCs w:val="16"/>
        </w:rPr>
      </w:pPr>
      <w:r w:rsidRPr="00D0716C">
        <w:rPr>
          <w:rFonts w:ascii="Times New Roman" w:eastAsia="MyriadPro-LightCond" w:hAnsi="Times New Roman" w:cs="Times New Roman"/>
          <w:sz w:val="16"/>
          <w:szCs w:val="16"/>
        </w:rPr>
        <w:t>Aizsargājamo ainavu apvidus „Ziemeļgauja” dabas aizsardzības plāns (2007) I.Vilkas red. Rīga, Latvijas Dabas fonds, 173. lpp.</w:t>
      </w:r>
    </w:p>
    <w:p w:rsidR="009F72F6" w:rsidRPr="00D0716C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sz w:val="16"/>
          <w:szCs w:val="16"/>
        </w:rPr>
      </w:pPr>
      <w:r w:rsidRPr="00D0716C">
        <w:rPr>
          <w:rFonts w:ascii="Times New Roman" w:eastAsia="MyriadPro-LightCond" w:hAnsi="Times New Roman" w:cs="Times New Roman"/>
          <w:sz w:val="16"/>
          <w:szCs w:val="16"/>
        </w:rPr>
        <w:t>Bambe, B. (2003) Upju ieleju meži. Grām.: Meža enciklopēdija. I sējums. Red. J.Broks, Rīga, Zelta grauds, 332.–333. lpp.</w:t>
      </w:r>
    </w:p>
    <w:p w:rsidR="009F72F6" w:rsidRPr="00D0716C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sz w:val="16"/>
          <w:szCs w:val="16"/>
        </w:rPr>
      </w:pPr>
      <w:r w:rsidRPr="00D0716C">
        <w:rPr>
          <w:rFonts w:ascii="Times New Roman" w:eastAsia="MyriadPro-LightCond" w:hAnsi="Times New Roman" w:cs="Times New Roman"/>
          <w:sz w:val="16"/>
          <w:szCs w:val="16"/>
        </w:rPr>
        <w:t>Biotopu rokasgrāmata. Eiropas Savienības aizsargājamie biotopi Latvijā (2004) I.Kabuča red. Rīga, Preses nams, 144.–145. lpp.</w:t>
      </w:r>
    </w:p>
    <w:p w:rsidR="009F72F6" w:rsidRPr="00D0716C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sz w:val="16"/>
          <w:szCs w:val="16"/>
        </w:rPr>
      </w:pPr>
      <w:r w:rsidRPr="00D0716C">
        <w:rPr>
          <w:rFonts w:ascii="Times New Roman" w:eastAsia="MyriadPro-LightCond" w:hAnsi="Times New Roman" w:cs="Times New Roman"/>
          <w:sz w:val="16"/>
          <w:szCs w:val="16"/>
        </w:rPr>
        <w:t>Conservation Status of Species and Habitats. Reporting under Article 17 of the Habitats Directive. Latvia, assessment 2007-2012 (2013), European Commission, http://cdr.eionet.europa.eu/lv/eu/art17/envuc1kdw</w:t>
      </w:r>
    </w:p>
    <w:p w:rsidR="009F72F6" w:rsidRPr="00D0716C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sz w:val="16"/>
          <w:szCs w:val="16"/>
        </w:rPr>
      </w:pPr>
      <w:r w:rsidRPr="00D0716C">
        <w:rPr>
          <w:rFonts w:ascii="Times New Roman" w:eastAsia="MyriadPro-LightCond" w:hAnsi="Times New Roman" w:cs="Times New Roman"/>
          <w:sz w:val="16"/>
          <w:szCs w:val="16"/>
        </w:rPr>
        <w:t>Dabas lieguma „Pededzes lejtece” dabas aizsardzības plāns (2007) I.Roves red. Rīga, Latvijas Dabas fonds, 67 lpp.</w:t>
      </w:r>
    </w:p>
    <w:p w:rsidR="009F72F6" w:rsidRPr="000B3045" w:rsidRDefault="009F72F6" w:rsidP="009F72F6">
      <w:pPr>
        <w:autoSpaceDE w:val="0"/>
        <w:autoSpaceDN w:val="0"/>
        <w:adjustRightInd w:val="0"/>
        <w:rPr>
          <w:rFonts w:ascii="Times New Roman" w:eastAsia="MyriadPro-LightCond" w:hAnsi="Times New Roman" w:cs="Times New Roman"/>
          <w:sz w:val="16"/>
          <w:szCs w:val="16"/>
        </w:rPr>
      </w:pPr>
      <w:r w:rsidRPr="000B3045">
        <w:rPr>
          <w:rFonts w:ascii="Times New Roman" w:eastAsia="MyriadPro-LightCond" w:hAnsi="Times New Roman" w:cs="Times New Roman"/>
          <w:sz w:val="16"/>
          <w:szCs w:val="16"/>
        </w:rPr>
        <w:t>Dabas lieguma „Sitas un Pededzes paliene” dabas aizsardzības plāns (2005) L.Salmiņas red. Rīga, Latvijas Dabas fonds, 104 lpp.</w:t>
      </w:r>
    </w:p>
    <w:p w:rsidR="009F72F6" w:rsidRPr="0012598C" w:rsidRDefault="009F72F6" w:rsidP="009F72F6">
      <w:pPr>
        <w:jc w:val="both"/>
        <w:rPr>
          <w:sz w:val="16"/>
          <w:szCs w:val="16"/>
        </w:rPr>
      </w:pPr>
      <w:r w:rsidRPr="0012598C">
        <w:rPr>
          <w:sz w:val="16"/>
          <w:szCs w:val="16"/>
        </w:rPr>
        <w:t xml:space="preserve">Ikauniece S. (2016) Vadlīnijas aizsargājamo biotopu saglabāšanai Latvijā, DAP, </w:t>
      </w:r>
      <w:r w:rsidRPr="0012598C">
        <w:rPr>
          <w:i/>
          <w:sz w:val="16"/>
          <w:szCs w:val="16"/>
        </w:rPr>
        <w:t>in press</w:t>
      </w:r>
    </w:p>
    <w:p w:rsidR="009F72F6" w:rsidRPr="0012598C" w:rsidRDefault="009F72F6" w:rsidP="009F72F6">
      <w:pPr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0B3045">
        <w:rPr>
          <w:rFonts w:ascii="Times New Roman" w:eastAsia="MyriadPro-LightCond" w:hAnsi="Times New Roman" w:cs="Times New Roman"/>
          <w:sz w:val="16"/>
          <w:szCs w:val="16"/>
        </w:rPr>
        <w:t>Prieditis, N. (2002) Evaluation frameworks and conservation system of Latvian forests. Biodiversity and Conservation 11, 1361–1375 p.</w:t>
      </w:r>
    </w:p>
    <w:p w:rsidR="000A5F3A" w:rsidRPr="009F72F6" w:rsidRDefault="000A5F3A" w:rsidP="009F72F6"/>
    <w:sectPr w:rsidR="000A5F3A" w:rsidRPr="009F72F6" w:rsidSect="00AD1874">
      <w:footerReference w:type="default" r:id="rId9"/>
      <w:pgSz w:w="11906" w:h="16838"/>
      <w:pgMar w:top="567" w:right="567" w:bottom="567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9B" w:rsidRDefault="001A559B">
      <w:r>
        <w:separator/>
      </w:r>
    </w:p>
  </w:endnote>
  <w:endnote w:type="continuationSeparator" w:id="0">
    <w:p w:rsidR="001A559B" w:rsidRDefault="001A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Balt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Pro-Light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299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5E2" w:rsidRDefault="00051A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2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5E2" w:rsidRDefault="001A5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9B" w:rsidRDefault="001A559B">
      <w:r>
        <w:separator/>
      </w:r>
    </w:p>
  </w:footnote>
  <w:footnote w:type="continuationSeparator" w:id="0">
    <w:p w:rsidR="001A559B" w:rsidRDefault="001A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2B"/>
    <w:rsid w:val="00051A2B"/>
    <w:rsid w:val="000A5F3A"/>
    <w:rsid w:val="001A559B"/>
    <w:rsid w:val="006B1DA8"/>
    <w:rsid w:val="00796DEF"/>
    <w:rsid w:val="009F72F6"/>
    <w:rsid w:val="00D8066A"/>
    <w:rsid w:val="00DF49DD"/>
    <w:rsid w:val="00E16807"/>
    <w:rsid w:val="00F57FCA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894F9-38A2-4AEB-AC5F-37D2640F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DD"/>
    <w:pPr>
      <w:suppressAutoHyphens/>
      <w:spacing w:after="0" w:line="240" w:lineRule="auto"/>
    </w:pPr>
    <w:rPr>
      <w:rFonts w:ascii="Times-Baltic" w:eastAsia="Times New Roman" w:hAnsi="Times-Baltic" w:cs="Times-Baltic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6B1DA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caps/>
      <w:sz w:val="28"/>
      <w:szCs w:val="28"/>
      <w:lang w:val="lv-LV"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51A2B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51A2B"/>
  </w:style>
  <w:style w:type="character" w:styleId="Emphasis">
    <w:name w:val="Emphasis"/>
    <w:basedOn w:val="DefaultParagraphFont"/>
    <w:uiPriority w:val="20"/>
    <w:qFormat/>
    <w:rsid w:val="00051A2B"/>
    <w:rPr>
      <w:i/>
      <w:iCs/>
    </w:rPr>
  </w:style>
  <w:style w:type="character" w:styleId="CommentReference">
    <w:name w:val="annotation reference"/>
    <w:uiPriority w:val="99"/>
    <w:unhideWhenUsed/>
    <w:rsid w:val="00DF4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9DD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9DD"/>
    <w:rPr>
      <w:rFonts w:ascii="Times-Baltic" w:eastAsia="Times New Roman" w:hAnsi="Times-Baltic" w:cs="Times New Roman"/>
      <w:sz w:val="20"/>
      <w:szCs w:val="20"/>
      <w:lang w:val="x-none" w:eastAsia="ar-SA"/>
    </w:rPr>
  </w:style>
  <w:style w:type="character" w:customStyle="1" w:styleId="st">
    <w:name w:val="st"/>
    <w:basedOn w:val="DefaultParagraphFont"/>
    <w:rsid w:val="00DF49DD"/>
  </w:style>
  <w:style w:type="paragraph" w:styleId="BalloonText">
    <w:name w:val="Balloon Text"/>
    <w:basedOn w:val="Normal"/>
    <w:link w:val="BalloonTextChar"/>
    <w:uiPriority w:val="99"/>
    <w:semiHidden/>
    <w:unhideWhenUsed/>
    <w:rsid w:val="00DF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DD"/>
    <w:rPr>
      <w:rFonts w:ascii="Segoe UI" w:eastAsia="Times New Roman" w:hAnsi="Segoe UI" w:cs="Segoe UI"/>
      <w:sz w:val="18"/>
      <w:szCs w:val="18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E1680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B1DA8"/>
    <w:rPr>
      <w:rFonts w:ascii="Arial" w:eastAsia="Times New Roman" w:hAnsi="Arial" w:cs="Arial"/>
      <w:b/>
      <w:bCs/>
      <w:i/>
      <w:iCs/>
      <w:caps/>
      <w:sz w:val="28"/>
      <w:szCs w:val="28"/>
      <w:lang w:eastAsia="lv-LV"/>
    </w:rPr>
  </w:style>
  <w:style w:type="paragraph" w:customStyle="1" w:styleId="Sadaas">
    <w:name w:val="Sadaļas"/>
    <w:basedOn w:val="Heading3"/>
    <w:link w:val="SadaasChar"/>
    <w:rsid w:val="006B1DA8"/>
    <w:pPr>
      <w:keepLines w:val="0"/>
      <w:suppressAutoHyphens w:val="0"/>
      <w:spacing w:before="240" w:after="60"/>
      <w:jc w:val="both"/>
    </w:pPr>
    <w:rPr>
      <w:rFonts w:ascii="Arial" w:hAnsi="Arial"/>
      <w:b/>
      <w:sz w:val="26"/>
      <w:lang w:eastAsia="lv-LV"/>
    </w:rPr>
  </w:style>
  <w:style w:type="character" w:customStyle="1" w:styleId="SadaasChar">
    <w:name w:val="Sadaļas Char"/>
    <w:basedOn w:val="Heading3Char"/>
    <w:link w:val="Sadaas"/>
    <w:locked/>
    <w:rsid w:val="006B1DA8"/>
    <w:rPr>
      <w:rFonts w:ascii="Arial" w:eastAsiaTheme="majorEastAsia" w:hAnsi="Arial" w:cstheme="majorBidi"/>
      <w:b/>
      <w:color w:val="1F4D78" w:themeColor="accent1" w:themeShade="7F"/>
      <w:sz w:val="26"/>
      <w:szCs w:val="24"/>
      <w:lang w:val="en-GB"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D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7005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</cp:lastModifiedBy>
  <cp:revision>2</cp:revision>
  <dcterms:created xsi:type="dcterms:W3CDTF">2017-04-11T06:52:00Z</dcterms:created>
  <dcterms:modified xsi:type="dcterms:W3CDTF">2017-04-11T06:52:00Z</dcterms:modified>
</cp:coreProperties>
</file>