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1A4D2" w14:textId="77777777" w:rsidR="006404A3" w:rsidRPr="00792B57" w:rsidRDefault="006404A3" w:rsidP="006404A3">
      <w:pPr>
        <w:tabs>
          <w:tab w:val="left" w:pos="3735"/>
        </w:tabs>
        <w:spacing w:after="0" w:line="240" w:lineRule="auto"/>
        <w:jc w:val="center"/>
        <w:rPr>
          <w:rFonts w:ascii="Times New Roman" w:hAnsi="Times New Roman"/>
          <w:sz w:val="24"/>
          <w:szCs w:val="24"/>
          <w:lang w:val="lv-LV"/>
        </w:rPr>
      </w:pPr>
      <w:r w:rsidRPr="00792B57">
        <w:rPr>
          <w:rFonts w:ascii="Times New Roman" w:hAnsi="Times New Roman"/>
          <w:sz w:val="24"/>
          <w:szCs w:val="24"/>
          <w:lang w:val="lv-LV"/>
        </w:rPr>
        <w:t xml:space="preserve">                          </w:t>
      </w:r>
    </w:p>
    <w:p w14:paraId="46CD0CCA" w14:textId="77777777" w:rsidR="006404A3" w:rsidRPr="00792B57" w:rsidRDefault="006404A3" w:rsidP="006404A3">
      <w:pPr>
        <w:spacing w:after="0" w:line="240" w:lineRule="auto"/>
        <w:jc w:val="center"/>
        <w:rPr>
          <w:rFonts w:ascii="Times New Roman" w:hAnsi="Times New Roman"/>
          <w:sz w:val="24"/>
          <w:szCs w:val="24"/>
          <w:lang w:val="lv-LV"/>
        </w:rPr>
      </w:pPr>
      <w:r w:rsidRPr="00792B57">
        <w:rPr>
          <w:rFonts w:ascii="Times New Roman" w:hAnsi="Times New Roman"/>
          <w:sz w:val="24"/>
          <w:szCs w:val="24"/>
          <w:lang w:val="lv-LV"/>
        </w:rPr>
        <w:t xml:space="preserve"> </w:t>
      </w:r>
    </w:p>
    <w:p w14:paraId="43708F01" w14:textId="77777777" w:rsidR="006404A3" w:rsidRPr="00792B57" w:rsidRDefault="00DE7A2A" w:rsidP="006404A3">
      <w:pPr>
        <w:spacing w:after="0" w:line="240" w:lineRule="auto"/>
        <w:jc w:val="center"/>
        <w:rPr>
          <w:rFonts w:ascii="Times New Roman" w:hAnsi="Times New Roman"/>
          <w:b/>
          <w:sz w:val="36"/>
          <w:szCs w:val="36"/>
          <w:lang w:val="lv-LV"/>
        </w:rPr>
      </w:pPr>
      <w:r>
        <w:rPr>
          <w:rFonts w:ascii="Times New Roman" w:hAnsi="Times New Roman"/>
          <w:b/>
          <w:noProof/>
          <w:sz w:val="36"/>
          <w:szCs w:val="36"/>
          <w:lang w:val="lv-LV" w:eastAsia="lv-LV"/>
        </w:rPr>
        <w:drawing>
          <wp:inline distT="0" distB="0" distL="0" distR="0" wp14:anchorId="6915A0DE" wp14:editId="7DC959C2">
            <wp:extent cx="5731510" cy="42989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G_4002.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31510" cy="4298950"/>
                    </a:xfrm>
                    <a:prstGeom prst="rect">
                      <a:avLst/>
                    </a:prstGeom>
                  </pic:spPr>
                </pic:pic>
              </a:graphicData>
            </a:graphic>
          </wp:inline>
        </w:drawing>
      </w:r>
    </w:p>
    <w:p w14:paraId="502AE93C" w14:textId="77777777" w:rsidR="006404A3" w:rsidRPr="00792B57" w:rsidRDefault="006404A3" w:rsidP="006404A3">
      <w:pPr>
        <w:tabs>
          <w:tab w:val="right" w:leader="dot" w:pos="8630"/>
        </w:tabs>
        <w:suppressAutoHyphens/>
        <w:spacing w:after="0" w:line="240" w:lineRule="auto"/>
        <w:jc w:val="center"/>
        <w:rPr>
          <w:rFonts w:ascii="Times New Roman" w:hAnsi="Times New Roman"/>
          <w:sz w:val="28"/>
          <w:szCs w:val="28"/>
          <w:lang w:val="lv-LV" w:eastAsia="zh-CN"/>
        </w:rPr>
      </w:pPr>
    </w:p>
    <w:p w14:paraId="194294C4" w14:textId="77777777" w:rsidR="00341090" w:rsidRPr="00E54F69" w:rsidRDefault="00341090" w:rsidP="006404A3">
      <w:pPr>
        <w:spacing w:after="0"/>
        <w:jc w:val="center"/>
        <w:rPr>
          <w:rFonts w:ascii="Times New Roman" w:hAnsi="Times New Roman" w:cs="Times New Roman"/>
          <w:b/>
          <w:sz w:val="32"/>
          <w:szCs w:val="20"/>
        </w:rPr>
      </w:pPr>
      <w:proofErr w:type="spellStart"/>
      <w:r w:rsidRPr="00E54F69">
        <w:rPr>
          <w:rFonts w:ascii="Times New Roman" w:hAnsi="Times New Roman" w:cs="Times New Roman"/>
          <w:b/>
          <w:sz w:val="32"/>
          <w:szCs w:val="20"/>
        </w:rPr>
        <w:t>Bezmugurkaulnieku</w:t>
      </w:r>
      <w:proofErr w:type="spellEnd"/>
      <w:r w:rsidRPr="00E54F69">
        <w:rPr>
          <w:rFonts w:ascii="Times New Roman" w:hAnsi="Times New Roman" w:cs="Times New Roman"/>
          <w:b/>
          <w:sz w:val="32"/>
          <w:szCs w:val="20"/>
        </w:rPr>
        <w:t xml:space="preserve"> </w:t>
      </w:r>
      <w:proofErr w:type="spellStart"/>
      <w:r w:rsidRPr="00E54F69">
        <w:rPr>
          <w:rFonts w:ascii="Times New Roman" w:hAnsi="Times New Roman" w:cs="Times New Roman"/>
          <w:b/>
          <w:sz w:val="32"/>
          <w:szCs w:val="20"/>
        </w:rPr>
        <w:t>monitoringa</w:t>
      </w:r>
      <w:proofErr w:type="spellEnd"/>
      <w:r w:rsidRPr="00E54F69">
        <w:rPr>
          <w:rFonts w:ascii="Times New Roman" w:hAnsi="Times New Roman" w:cs="Times New Roman"/>
          <w:b/>
          <w:sz w:val="32"/>
          <w:szCs w:val="20"/>
        </w:rPr>
        <w:t xml:space="preserve"> </w:t>
      </w:r>
      <w:proofErr w:type="spellStart"/>
      <w:r w:rsidRPr="00E54F69">
        <w:rPr>
          <w:rFonts w:ascii="Times New Roman" w:hAnsi="Times New Roman" w:cs="Times New Roman"/>
          <w:b/>
          <w:sz w:val="32"/>
          <w:szCs w:val="20"/>
        </w:rPr>
        <w:t>metodika</w:t>
      </w:r>
      <w:proofErr w:type="spellEnd"/>
      <w:r w:rsidRPr="00E54F69">
        <w:rPr>
          <w:rFonts w:ascii="Times New Roman" w:hAnsi="Times New Roman" w:cs="Times New Roman"/>
          <w:b/>
          <w:sz w:val="32"/>
          <w:szCs w:val="20"/>
        </w:rPr>
        <w:t xml:space="preserve"> Natura 2000 </w:t>
      </w:r>
      <w:proofErr w:type="spellStart"/>
      <w:r w:rsidRPr="00E54F69">
        <w:rPr>
          <w:rFonts w:ascii="Times New Roman" w:hAnsi="Times New Roman" w:cs="Times New Roman"/>
          <w:b/>
          <w:sz w:val="32"/>
          <w:szCs w:val="20"/>
        </w:rPr>
        <w:t>teritorijās</w:t>
      </w:r>
      <w:proofErr w:type="spellEnd"/>
    </w:p>
    <w:p w14:paraId="2A51E13F" w14:textId="77777777" w:rsidR="00E54F69" w:rsidRDefault="00E54F69" w:rsidP="006404A3">
      <w:pPr>
        <w:spacing w:after="0"/>
        <w:jc w:val="center"/>
        <w:rPr>
          <w:rFonts w:ascii="Times New Roman" w:hAnsi="Times New Roman" w:cs="Times New Roman"/>
          <w:b/>
          <w:sz w:val="28"/>
          <w:szCs w:val="20"/>
        </w:rPr>
      </w:pPr>
    </w:p>
    <w:p w14:paraId="223AF0A6" w14:textId="77777777" w:rsidR="00E54F69" w:rsidRDefault="00E54F69" w:rsidP="006404A3">
      <w:pPr>
        <w:spacing w:after="0"/>
        <w:jc w:val="center"/>
        <w:rPr>
          <w:rFonts w:ascii="Times New Roman" w:hAnsi="Times New Roman" w:cs="Times New Roman"/>
          <w:b/>
          <w:sz w:val="28"/>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E54F69" w14:paraId="299516AC" w14:textId="77777777" w:rsidTr="00E54F69">
        <w:tc>
          <w:tcPr>
            <w:tcW w:w="2972" w:type="dxa"/>
          </w:tcPr>
          <w:p w14:paraId="4A2EE413" w14:textId="77777777" w:rsidR="00E54F69" w:rsidRDefault="00E54F69" w:rsidP="00E54F69">
            <w:pPr>
              <w:rPr>
                <w:rFonts w:ascii="Times New Roman" w:hAnsi="Times New Roman"/>
                <w:b/>
                <w:i/>
                <w:sz w:val="20"/>
                <w:szCs w:val="20"/>
                <w:lang w:val="lv-LV" w:eastAsia="zh-CN"/>
              </w:rPr>
            </w:pPr>
            <w:r w:rsidRPr="00792B57">
              <w:rPr>
                <w:rFonts w:ascii="Times New Roman" w:hAnsi="Times New Roman"/>
                <w:noProof/>
                <w:sz w:val="24"/>
                <w:szCs w:val="24"/>
                <w:lang w:val="lv-LV" w:eastAsia="lv-LV"/>
              </w:rPr>
              <w:drawing>
                <wp:inline distT="0" distB="0" distL="0" distR="0" wp14:anchorId="30856402" wp14:editId="085A7660">
                  <wp:extent cx="842105" cy="85725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89_DAP_zime_V_LV_vienkarsa_rgb_pilnkrasu_bez_ZALA.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850751" cy="866051"/>
                          </a:xfrm>
                          <a:prstGeom prst="rect">
                            <a:avLst/>
                          </a:prstGeom>
                        </pic:spPr>
                      </pic:pic>
                    </a:graphicData>
                  </a:graphic>
                </wp:inline>
              </w:drawing>
            </w:r>
            <w:r>
              <w:rPr>
                <w:rFonts w:ascii="Times New Roman" w:hAnsi="Times New Roman"/>
                <w:b/>
                <w:i/>
                <w:sz w:val="20"/>
                <w:szCs w:val="20"/>
                <w:lang w:val="lv-LV" w:eastAsia="zh-CN"/>
              </w:rPr>
              <w:t xml:space="preserve">    </w:t>
            </w:r>
            <w:r w:rsidRPr="00792B57">
              <w:rPr>
                <w:rFonts w:ascii="Times New Roman" w:hAnsi="Times New Roman"/>
                <w:noProof/>
                <w:sz w:val="24"/>
                <w:szCs w:val="24"/>
                <w:lang w:val="lv-LV" w:eastAsia="lv-LV"/>
              </w:rPr>
              <w:drawing>
                <wp:inline distT="0" distB="0" distL="0" distR="0" wp14:anchorId="117BE598" wp14:editId="5923ABD8">
                  <wp:extent cx="748789" cy="7880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DU_20111031_V12DU_.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67065" cy="807269"/>
                          </a:xfrm>
                          <a:prstGeom prst="rect">
                            <a:avLst/>
                          </a:prstGeom>
                        </pic:spPr>
                      </pic:pic>
                    </a:graphicData>
                  </a:graphic>
                </wp:inline>
              </w:drawing>
            </w:r>
          </w:p>
        </w:tc>
        <w:tc>
          <w:tcPr>
            <w:tcW w:w="6044" w:type="dxa"/>
          </w:tcPr>
          <w:p w14:paraId="03F08998" w14:textId="77777777" w:rsidR="00E54F69" w:rsidRPr="006404A3" w:rsidRDefault="00E54F69" w:rsidP="00E54F69">
            <w:pPr>
              <w:jc w:val="center"/>
              <w:rPr>
                <w:rFonts w:ascii="Times New Roman" w:hAnsi="Times New Roman" w:cs="Times New Roman"/>
                <w:b/>
                <w:i/>
                <w:sz w:val="20"/>
                <w:szCs w:val="20"/>
                <w:lang w:val="lv-LV"/>
              </w:rPr>
            </w:pPr>
            <w:r w:rsidRPr="006404A3">
              <w:rPr>
                <w:rFonts w:ascii="Times New Roman" w:hAnsi="Times New Roman"/>
                <w:b/>
                <w:i/>
                <w:sz w:val="20"/>
                <w:szCs w:val="20"/>
                <w:lang w:val="lv-LV" w:eastAsia="zh-CN"/>
              </w:rPr>
              <w:t xml:space="preserve">saskaņā </w:t>
            </w:r>
            <w:r w:rsidRPr="006404A3">
              <w:rPr>
                <w:rFonts w:ascii="Times New Roman" w:hAnsi="Times New Roman" w:cs="Times New Roman"/>
                <w:b/>
                <w:i/>
                <w:sz w:val="20"/>
                <w:szCs w:val="20"/>
                <w:lang w:val="lv-LV"/>
              </w:rPr>
              <w:t>2020. gada 1. jūlija līgumu Nr. 7.7/210/2020</w:t>
            </w:r>
          </w:p>
          <w:p w14:paraId="3DDB33C8" w14:textId="77777777" w:rsidR="00E54F69" w:rsidRPr="006404A3" w:rsidRDefault="00E54F69" w:rsidP="00E54F69">
            <w:pPr>
              <w:tabs>
                <w:tab w:val="right" w:leader="dot" w:pos="8630"/>
              </w:tabs>
              <w:suppressAutoHyphens/>
              <w:jc w:val="center"/>
              <w:rPr>
                <w:rFonts w:ascii="Times New Roman" w:hAnsi="Times New Roman"/>
                <w:b/>
                <w:i/>
                <w:sz w:val="20"/>
                <w:szCs w:val="20"/>
                <w:lang w:val="lv-LV" w:eastAsia="zh-CN"/>
              </w:rPr>
            </w:pPr>
            <w:r w:rsidRPr="006404A3">
              <w:rPr>
                <w:rFonts w:ascii="Times New Roman" w:hAnsi="Times New Roman"/>
                <w:b/>
                <w:i/>
                <w:sz w:val="20"/>
                <w:szCs w:val="20"/>
                <w:lang w:val="lv-LV" w:eastAsia="zh-CN"/>
              </w:rPr>
              <w:t xml:space="preserve">kas noslēgts starp Dabas aizsardzības pārvaldi un </w:t>
            </w:r>
          </w:p>
          <w:p w14:paraId="1D5E55E7" w14:textId="77777777" w:rsidR="00E54F69" w:rsidRDefault="00E54F69" w:rsidP="00E54F69">
            <w:pPr>
              <w:tabs>
                <w:tab w:val="right" w:leader="dot" w:pos="8630"/>
              </w:tabs>
              <w:suppressAutoHyphens/>
              <w:jc w:val="center"/>
              <w:rPr>
                <w:rFonts w:ascii="Times New Roman" w:hAnsi="Times New Roman"/>
                <w:b/>
                <w:i/>
                <w:sz w:val="20"/>
                <w:szCs w:val="20"/>
                <w:lang w:val="lv-LV" w:eastAsia="zh-CN"/>
              </w:rPr>
            </w:pPr>
            <w:r w:rsidRPr="006404A3">
              <w:rPr>
                <w:rFonts w:ascii="Times New Roman" w:hAnsi="Times New Roman"/>
                <w:b/>
                <w:i/>
                <w:sz w:val="20"/>
                <w:szCs w:val="20"/>
                <w:lang w:val="lv-LV" w:eastAsia="zh-CN"/>
              </w:rPr>
              <w:t>Daugavpils Universitāti</w:t>
            </w:r>
          </w:p>
          <w:p w14:paraId="47123504" w14:textId="77777777" w:rsidR="00E54F69" w:rsidRPr="006404A3" w:rsidRDefault="00E54F69" w:rsidP="00E54F69">
            <w:pPr>
              <w:tabs>
                <w:tab w:val="right" w:leader="dot" w:pos="8630"/>
              </w:tabs>
              <w:suppressAutoHyphens/>
              <w:jc w:val="center"/>
              <w:rPr>
                <w:rFonts w:ascii="Times New Roman" w:hAnsi="Times New Roman"/>
                <w:b/>
                <w:i/>
                <w:sz w:val="20"/>
                <w:szCs w:val="20"/>
                <w:lang w:val="lv-LV" w:eastAsia="zh-CN"/>
              </w:rPr>
            </w:pPr>
          </w:p>
          <w:p w14:paraId="2088B9D7" w14:textId="77777777" w:rsidR="00E54F69" w:rsidRPr="006404A3" w:rsidRDefault="00E54F69" w:rsidP="00E54F69">
            <w:pPr>
              <w:tabs>
                <w:tab w:val="right" w:leader="dot" w:pos="8630"/>
              </w:tabs>
              <w:suppressAutoHyphens/>
              <w:jc w:val="center"/>
              <w:rPr>
                <w:rFonts w:ascii="Times New Roman" w:hAnsi="Times New Roman" w:cs="Times New Roman"/>
                <w:b/>
                <w:sz w:val="20"/>
                <w:szCs w:val="20"/>
                <w:lang w:val="lv-LV" w:eastAsia="zh-CN"/>
              </w:rPr>
            </w:pPr>
            <w:r w:rsidRPr="006404A3">
              <w:rPr>
                <w:rFonts w:ascii="Times New Roman" w:hAnsi="Times New Roman" w:cs="Times New Roman"/>
                <w:b/>
                <w:sz w:val="20"/>
                <w:szCs w:val="20"/>
              </w:rPr>
              <w:t>“</w:t>
            </w:r>
            <w:proofErr w:type="spellStart"/>
            <w:r w:rsidRPr="006404A3">
              <w:rPr>
                <w:rFonts w:ascii="Times New Roman" w:hAnsi="Times New Roman" w:cs="Times New Roman"/>
                <w:b/>
                <w:sz w:val="20"/>
                <w:szCs w:val="20"/>
              </w:rPr>
              <w:t>Bezmugurkaulnieku</w:t>
            </w:r>
            <w:proofErr w:type="spellEnd"/>
            <w:r w:rsidRPr="006404A3">
              <w:rPr>
                <w:rFonts w:ascii="Times New Roman" w:hAnsi="Times New Roman" w:cs="Times New Roman"/>
                <w:b/>
                <w:sz w:val="20"/>
                <w:szCs w:val="20"/>
              </w:rPr>
              <w:t xml:space="preserve"> </w:t>
            </w:r>
            <w:proofErr w:type="spellStart"/>
            <w:r w:rsidRPr="006404A3">
              <w:rPr>
                <w:rFonts w:ascii="Times New Roman" w:hAnsi="Times New Roman" w:cs="Times New Roman"/>
                <w:b/>
                <w:sz w:val="20"/>
                <w:szCs w:val="20"/>
              </w:rPr>
              <w:t>monitoringa</w:t>
            </w:r>
            <w:proofErr w:type="spellEnd"/>
            <w:r w:rsidRPr="006404A3">
              <w:rPr>
                <w:rFonts w:ascii="Times New Roman" w:hAnsi="Times New Roman" w:cs="Times New Roman"/>
                <w:b/>
                <w:sz w:val="20"/>
                <w:szCs w:val="20"/>
              </w:rPr>
              <w:t xml:space="preserve"> </w:t>
            </w:r>
            <w:proofErr w:type="spellStart"/>
            <w:r w:rsidRPr="006404A3">
              <w:rPr>
                <w:rFonts w:ascii="Times New Roman" w:hAnsi="Times New Roman" w:cs="Times New Roman"/>
                <w:b/>
                <w:sz w:val="20"/>
                <w:szCs w:val="20"/>
              </w:rPr>
              <w:t>metodikas</w:t>
            </w:r>
            <w:proofErr w:type="spellEnd"/>
            <w:r w:rsidRPr="006404A3">
              <w:rPr>
                <w:rFonts w:ascii="Times New Roman" w:hAnsi="Times New Roman" w:cs="Times New Roman"/>
                <w:b/>
                <w:sz w:val="20"/>
                <w:szCs w:val="20"/>
              </w:rPr>
              <w:t xml:space="preserve"> Natura 2000 </w:t>
            </w:r>
            <w:proofErr w:type="spellStart"/>
            <w:r w:rsidRPr="006404A3">
              <w:rPr>
                <w:rFonts w:ascii="Times New Roman" w:hAnsi="Times New Roman" w:cs="Times New Roman"/>
                <w:b/>
                <w:sz w:val="20"/>
                <w:szCs w:val="20"/>
              </w:rPr>
              <w:t>teritorijās</w:t>
            </w:r>
            <w:proofErr w:type="spellEnd"/>
            <w:r w:rsidRPr="006404A3">
              <w:rPr>
                <w:rFonts w:ascii="Times New Roman" w:hAnsi="Times New Roman" w:cs="Times New Roman"/>
                <w:b/>
                <w:sz w:val="20"/>
                <w:szCs w:val="20"/>
              </w:rPr>
              <w:t xml:space="preserve"> </w:t>
            </w:r>
            <w:proofErr w:type="spellStart"/>
            <w:r w:rsidRPr="006404A3">
              <w:rPr>
                <w:rFonts w:ascii="Times New Roman" w:hAnsi="Times New Roman" w:cs="Times New Roman"/>
                <w:b/>
                <w:sz w:val="20"/>
                <w:szCs w:val="20"/>
              </w:rPr>
              <w:t>aktualizācija</w:t>
            </w:r>
            <w:proofErr w:type="spellEnd"/>
            <w:r w:rsidRPr="006404A3">
              <w:rPr>
                <w:rFonts w:ascii="Times New Roman" w:hAnsi="Times New Roman" w:cs="Times New Roman"/>
                <w:b/>
                <w:sz w:val="20"/>
                <w:szCs w:val="20"/>
              </w:rPr>
              <w:t>”</w:t>
            </w:r>
          </w:p>
          <w:p w14:paraId="384E2959" w14:textId="77777777" w:rsidR="00E54F69" w:rsidRDefault="00E54F69" w:rsidP="006404A3">
            <w:pPr>
              <w:jc w:val="center"/>
              <w:rPr>
                <w:rFonts w:ascii="Times New Roman" w:hAnsi="Times New Roman"/>
                <w:b/>
                <w:i/>
                <w:sz w:val="20"/>
                <w:szCs w:val="20"/>
                <w:lang w:val="lv-LV" w:eastAsia="zh-CN"/>
              </w:rPr>
            </w:pPr>
          </w:p>
        </w:tc>
      </w:tr>
    </w:tbl>
    <w:p w14:paraId="57938812" w14:textId="77777777" w:rsidR="00E54F69" w:rsidRDefault="00E54F69" w:rsidP="006404A3">
      <w:pPr>
        <w:spacing w:after="0"/>
        <w:jc w:val="center"/>
        <w:rPr>
          <w:rFonts w:ascii="Times New Roman" w:hAnsi="Times New Roman"/>
          <w:b/>
          <w:i/>
          <w:sz w:val="20"/>
          <w:szCs w:val="20"/>
          <w:lang w:val="lv-LV" w:eastAsia="zh-CN"/>
        </w:rPr>
      </w:pPr>
    </w:p>
    <w:p w14:paraId="51D7EE3C" w14:textId="77777777" w:rsidR="006404A3" w:rsidRDefault="006404A3" w:rsidP="006404A3">
      <w:pPr>
        <w:spacing w:after="0" w:line="240" w:lineRule="auto"/>
        <w:jc w:val="right"/>
        <w:rPr>
          <w:rFonts w:ascii="Times New Roman" w:hAnsi="Times New Roman"/>
          <w:sz w:val="28"/>
          <w:szCs w:val="28"/>
          <w:lang w:val="lv-LV"/>
        </w:rPr>
      </w:pPr>
    </w:p>
    <w:p w14:paraId="63DB4983" w14:textId="77777777" w:rsidR="006404A3" w:rsidRPr="00792B57" w:rsidRDefault="006404A3" w:rsidP="006404A3">
      <w:pPr>
        <w:spacing w:after="0" w:line="240" w:lineRule="auto"/>
        <w:jc w:val="right"/>
        <w:rPr>
          <w:rFonts w:ascii="Times New Roman" w:hAnsi="Times New Roman"/>
          <w:sz w:val="28"/>
          <w:szCs w:val="28"/>
          <w:lang w:val="lv-LV"/>
        </w:rPr>
      </w:pPr>
      <w:r>
        <w:rPr>
          <w:rFonts w:ascii="Times New Roman" w:hAnsi="Times New Roman"/>
          <w:sz w:val="28"/>
          <w:szCs w:val="28"/>
          <w:lang w:val="lv-LV"/>
        </w:rPr>
        <w:t xml:space="preserve">red. </w:t>
      </w:r>
      <w:r w:rsidRPr="00792B57">
        <w:rPr>
          <w:rFonts w:ascii="Times New Roman" w:hAnsi="Times New Roman"/>
          <w:sz w:val="28"/>
          <w:szCs w:val="28"/>
          <w:lang w:val="lv-LV"/>
        </w:rPr>
        <w:t>Maksims Balal</w:t>
      </w:r>
      <w:r>
        <w:rPr>
          <w:rFonts w:ascii="Times New Roman" w:hAnsi="Times New Roman"/>
          <w:sz w:val="28"/>
          <w:szCs w:val="28"/>
          <w:lang w:val="lv-LV"/>
        </w:rPr>
        <w:t>a</w:t>
      </w:r>
      <w:r w:rsidRPr="00792B57">
        <w:rPr>
          <w:rFonts w:ascii="Times New Roman" w:hAnsi="Times New Roman"/>
          <w:sz w:val="28"/>
          <w:szCs w:val="28"/>
          <w:lang w:val="lv-LV"/>
        </w:rPr>
        <w:t>ikins</w:t>
      </w:r>
    </w:p>
    <w:p w14:paraId="6EA01EFF" w14:textId="77777777" w:rsidR="006404A3" w:rsidRPr="00792B57" w:rsidRDefault="006404A3" w:rsidP="006404A3">
      <w:pPr>
        <w:tabs>
          <w:tab w:val="right" w:leader="dot" w:pos="8630"/>
        </w:tabs>
        <w:suppressAutoHyphens/>
        <w:spacing w:after="0" w:line="240" w:lineRule="auto"/>
        <w:rPr>
          <w:rFonts w:ascii="Times New Roman" w:hAnsi="Times New Roman"/>
          <w:sz w:val="28"/>
          <w:szCs w:val="28"/>
          <w:lang w:val="lv-LV" w:eastAsia="zh-CN"/>
        </w:rPr>
      </w:pPr>
    </w:p>
    <w:p w14:paraId="0FD218DF" w14:textId="77777777" w:rsidR="006404A3" w:rsidRDefault="006404A3" w:rsidP="006404A3">
      <w:pPr>
        <w:tabs>
          <w:tab w:val="right" w:leader="dot" w:pos="8630"/>
        </w:tabs>
        <w:suppressAutoHyphens/>
        <w:spacing w:after="0" w:line="240" w:lineRule="auto"/>
        <w:rPr>
          <w:rFonts w:ascii="Times New Roman" w:hAnsi="Times New Roman"/>
          <w:sz w:val="28"/>
          <w:szCs w:val="28"/>
          <w:lang w:val="lv-LV" w:eastAsia="zh-CN"/>
        </w:rPr>
      </w:pPr>
    </w:p>
    <w:p w14:paraId="0A10DCC9" w14:textId="77777777" w:rsidR="00E54F69" w:rsidRDefault="00E54F69" w:rsidP="006404A3">
      <w:pPr>
        <w:tabs>
          <w:tab w:val="right" w:leader="dot" w:pos="8630"/>
        </w:tabs>
        <w:suppressAutoHyphens/>
        <w:spacing w:after="0" w:line="240" w:lineRule="auto"/>
        <w:rPr>
          <w:rFonts w:ascii="Times New Roman" w:hAnsi="Times New Roman"/>
          <w:sz w:val="28"/>
          <w:szCs w:val="28"/>
          <w:lang w:val="lv-LV" w:eastAsia="zh-CN"/>
        </w:rPr>
      </w:pPr>
    </w:p>
    <w:p w14:paraId="43F2C038" w14:textId="77777777" w:rsidR="00E54F69" w:rsidRPr="00792B57" w:rsidRDefault="00E54F69" w:rsidP="006404A3">
      <w:pPr>
        <w:tabs>
          <w:tab w:val="right" w:leader="dot" w:pos="8630"/>
        </w:tabs>
        <w:suppressAutoHyphens/>
        <w:spacing w:after="0" w:line="240" w:lineRule="auto"/>
        <w:rPr>
          <w:rFonts w:ascii="Times New Roman" w:hAnsi="Times New Roman"/>
          <w:sz w:val="28"/>
          <w:szCs w:val="28"/>
          <w:lang w:val="lv-LV" w:eastAsia="zh-CN"/>
        </w:rPr>
      </w:pPr>
    </w:p>
    <w:p w14:paraId="52C4FCD5" w14:textId="77777777" w:rsidR="006404A3" w:rsidRPr="00E54F69" w:rsidRDefault="006404A3" w:rsidP="006404A3">
      <w:pPr>
        <w:tabs>
          <w:tab w:val="right" w:leader="dot" w:pos="8630"/>
        </w:tabs>
        <w:suppressAutoHyphens/>
        <w:spacing w:after="0" w:line="240" w:lineRule="auto"/>
        <w:jc w:val="center"/>
        <w:rPr>
          <w:rFonts w:ascii="Times New Roman" w:hAnsi="Times New Roman"/>
          <w:b/>
          <w:sz w:val="24"/>
          <w:szCs w:val="28"/>
          <w:lang w:val="lv-LV" w:eastAsia="zh-CN"/>
        </w:rPr>
      </w:pPr>
      <w:r w:rsidRPr="00E54F69">
        <w:rPr>
          <w:rFonts w:ascii="Times New Roman" w:hAnsi="Times New Roman"/>
          <w:b/>
          <w:sz w:val="24"/>
          <w:szCs w:val="28"/>
          <w:lang w:val="lv-LV" w:eastAsia="zh-CN"/>
        </w:rPr>
        <w:t>Daugavpils Universitāte</w:t>
      </w:r>
    </w:p>
    <w:p w14:paraId="6A246512" w14:textId="77777777" w:rsidR="00DE7A2A" w:rsidRDefault="006404A3" w:rsidP="006404A3">
      <w:pPr>
        <w:tabs>
          <w:tab w:val="right" w:leader="dot" w:pos="8630"/>
        </w:tabs>
        <w:suppressAutoHyphens/>
        <w:spacing w:after="0" w:line="240" w:lineRule="auto"/>
        <w:jc w:val="center"/>
        <w:rPr>
          <w:rFonts w:ascii="Times New Roman" w:hAnsi="Times New Roman"/>
          <w:b/>
          <w:sz w:val="24"/>
          <w:szCs w:val="28"/>
          <w:lang w:val="lv-LV" w:eastAsia="zh-CN"/>
        </w:rPr>
      </w:pPr>
      <w:r w:rsidRPr="00E54F69">
        <w:rPr>
          <w:rFonts w:ascii="Times New Roman" w:hAnsi="Times New Roman"/>
          <w:b/>
          <w:sz w:val="24"/>
          <w:szCs w:val="28"/>
          <w:lang w:val="lv-LV" w:eastAsia="zh-CN"/>
        </w:rPr>
        <w:t>Daugavpils, 2020</w:t>
      </w:r>
    </w:p>
    <w:p w14:paraId="114660BF" w14:textId="77777777" w:rsidR="00DE7A2A" w:rsidRDefault="00DE7A2A">
      <w:pPr>
        <w:rPr>
          <w:rFonts w:ascii="Times New Roman" w:hAnsi="Times New Roman"/>
          <w:b/>
          <w:sz w:val="24"/>
          <w:szCs w:val="28"/>
          <w:lang w:val="lv-LV" w:eastAsia="zh-CN"/>
        </w:rPr>
      </w:pPr>
      <w:r>
        <w:rPr>
          <w:rFonts w:ascii="Times New Roman" w:hAnsi="Times New Roman"/>
          <w:b/>
          <w:sz w:val="24"/>
          <w:szCs w:val="28"/>
          <w:lang w:val="lv-LV" w:eastAsia="zh-CN"/>
        </w:rPr>
        <w:br w:type="page"/>
      </w:r>
    </w:p>
    <w:p w14:paraId="53FA46DE" w14:textId="77777777" w:rsidR="00DE7A2A" w:rsidRPr="00DE7A2A" w:rsidRDefault="00DE7A2A" w:rsidP="00DE7A2A">
      <w:pPr>
        <w:pStyle w:val="Heading1"/>
        <w:rPr>
          <w:smallCaps/>
          <w:sz w:val="24"/>
        </w:rPr>
      </w:pPr>
      <w:proofErr w:type="spellStart"/>
      <w:r w:rsidRPr="00DE7A2A">
        <w:rPr>
          <w:smallCaps/>
          <w:sz w:val="24"/>
        </w:rPr>
        <w:lastRenderedPageBreak/>
        <w:t>Ievads</w:t>
      </w:r>
      <w:proofErr w:type="spellEnd"/>
    </w:p>
    <w:p w14:paraId="437D976D" w14:textId="77777777" w:rsidR="00DE7A2A" w:rsidRPr="00DE7A2A" w:rsidRDefault="00F70753" w:rsidP="00DE7A2A">
      <w:pPr>
        <w:pStyle w:val="Heading1"/>
        <w:rPr>
          <w:smallCaps/>
          <w:sz w:val="24"/>
          <w:lang w:val="lv-LV"/>
        </w:rPr>
      </w:pPr>
      <w:r>
        <w:rPr>
          <w:smallCaps/>
          <w:sz w:val="24"/>
          <w:lang w:val="lv-LV"/>
        </w:rPr>
        <w:t xml:space="preserve">1. </w:t>
      </w:r>
      <w:r w:rsidR="00DE7A2A" w:rsidRPr="00DE7A2A">
        <w:rPr>
          <w:smallCaps/>
          <w:sz w:val="24"/>
          <w:lang w:val="lv-LV"/>
        </w:rPr>
        <w:t>Ūdensvaboļu monitoringa metodika</w:t>
      </w:r>
    </w:p>
    <w:p w14:paraId="44271633" w14:textId="77777777" w:rsidR="00DE7A2A" w:rsidRPr="00DE7A2A" w:rsidRDefault="00F70753" w:rsidP="00DE7A2A">
      <w:pPr>
        <w:pStyle w:val="Heading1"/>
        <w:rPr>
          <w:smallCaps/>
          <w:sz w:val="24"/>
          <w:lang w:val="lv-LV"/>
        </w:rPr>
      </w:pPr>
      <w:r>
        <w:rPr>
          <w:smallCaps/>
          <w:sz w:val="24"/>
          <w:lang w:val="lv-LV"/>
        </w:rPr>
        <w:t xml:space="preserve">2. </w:t>
      </w:r>
      <w:r w:rsidR="00DE7A2A" w:rsidRPr="00DE7A2A">
        <w:rPr>
          <w:smallCaps/>
          <w:sz w:val="24"/>
          <w:lang w:val="lv-LV"/>
        </w:rPr>
        <w:t>Pumpurgliemežu monitoringa metodika</w:t>
      </w:r>
    </w:p>
    <w:p w14:paraId="2A8B880F" w14:textId="77777777" w:rsidR="00DE7A2A" w:rsidRPr="00DE7A2A" w:rsidRDefault="00F70753" w:rsidP="00DE7A2A">
      <w:pPr>
        <w:pStyle w:val="Heading1"/>
        <w:rPr>
          <w:smallCaps/>
          <w:sz w:val="24"/>
          <w:lang w:val="lv-LV"/>
        </w:rPr>
      </w:pPr>
      <w:r>
        <w:rPr>
          <w:smallCaps/>
          <w:sz w:val="24"/>
          <w:lang w:val="lv-LV"/>
        </w:rPr>
        <w:t xml:space="preserve">3. </w:t>
      </w:r>
      <w:r w:rsidR="00DE7A2A" w:rsidRPr="00DE7A2A">
        <w:rPr>
          <w:smallCaps/>
          <w:sz w:val="24"/>
          <w:lang w:val="lv-LV"/>
        </w:rPr>
        <w:t>Gliemeņu monitoringa metodika</w:t>
      </w:r>
    </w:p>
    <w:p w14:paraId="45EF5FA5" w14:textId="77777777" w:rsidR="00DE7A2A" w:rsidRPr="00DE7A2A" w:rsidRDefault="00F70753" w:rsidP="00DE7A2A">
      <w:pPr>
        <w:pStyle w:val="Heading1"/>
        <w:rPr>
          <w:smallCaps/>
          <w:sz w:val="24"/>
          <w:lang w:val="lv-LV"/>
        </w:rPr>
      </w:pPr>
      <w:r>
        <w:rPr>
          <w:smallCaps/>
          <w:sz w:val="24"/>
          <w:lang w:val="lv-LV"/>
        </w:rPr>
        <w:t xml:space="preserve">4. </w:t>
      </w:r>
      <w:r w:rsidR="00DE7A2A" w:rsidRPr="00DE7A2A">
        <w:rPr>
          <w:smallCaps/>
          <w:sz w:val="24"/>
          <w:lang w:val="lv-LV"/>
        </w:rPr>
        <w:t>Spāru monitoringa metodika</w:t>
      </w:r>
    </w:p>
    <w:p w14:paraId="0B351FA0" w14:textId="77777777" w:rsidR="00DE7A2A" w:rsidRPr="00DE7A2A" w:rsidRDefault="00F70753" w:rsidP="00DE7A2A">
      <w:pPr>
        <w:pStyle w:val="Heading1"/>
        <w:rPr>
          <w:smallCaps/>
          <w:sz w:val="24"/>
          <w:lang w:val="lv-LV"/>
        </w:rPr>
      </w:pPr>
      <w:r>
        <w:rPr>
          <w:smallCaps/>
          <w:sz w:val="24"/>
          <w:lang w:val="lv-LV"/>
        </w:rPr>
        <w:t xml:space="preserve">5. </w:t>
      </w:r>
      <w:r w:rsidR="00DE7A2A" w:rsidRPr="00DE7A2A">
        <w:rPr>
          <w:smallCaps/>
          <w:sz w:val="24"/>
          <w:lang w:val="lv-LV"/>
        </w:rPr>
        <w:t>Dobumu māņskorpiona monitoringa metodika</w:t>
      </w:r>
    </w:p>
    <w:p w14:paraId="100AF912" w14:textId="77777777" w:rsidR="00DE7A2A" w:rsidRPr="00DE7A2A" w:rsidRDefault="00F70753" w:rsidP="00DE7A2A">
      <w:pPr>
        <w:pStyle w:val="Heading1"/>
        <w:rPr>
          <w:smallCaps/>
          <w:sz w:val="24"/>
          <w:lang w:val="lv-LV"/>
        </w:rPr>
      </w:pPr>
      <w:r>
        <w:rPr>
          <w:smallCaps/>
          <w:sz w:val="24"/>
          <w:lang w:val="lv-LV"/>
        </w:rPr>
        <w:t xml:space="preserve">6. </w:t>
      </w:r>
      <w:r w:rsidR="00DE7A2A" w:rsidRPr="00DE7A2A">
        <w:rPr>
          <w:smallCaps/>
          <w:sz w:val="24"/>
          <w:lang w:val="lv-LV"/>
        </w:rPr>
        <w:t>Dienas tauriņu monitoringa metodika</w:t>
      </w:r>
    </w:p>
    <w:p w14:paraId="1001E702" w14:textId="77777777" w:rsidR="00DE7A2A" w:rsidRPr="00DE7A2A" w:rsidRDefault="00F70753" w:rsidP="00DE7A2A">
      <w:pPr>
        <w:pStyle w:val="Heading1"/>
        <w:rPr>
          <w:smallCaps/>
          <w:sz w:val="24"/>
          <w:lang w:val="lv-LV"/>
        </w:rPr>
      </w:pPr>
      <w:r>
        <w:rPr>
          <w:smallCaps/>
          <w:sz w:val="24"/>
          <w:lang w:val="lv-LV"/>
        </w:rPr>
        <w:t xml:space="preserve">7. </w:t>
      </w:r>
      <w:r w:rsidR="00DE7A2A" w:rsidRPr="00DE7A2A">
        <w:rPr>
          <w:smallCaps/>
          <w:sz w:val="24"/>
          <w:lang w:val="lv-LV"/>
        </w:rPr>
        <w:t>Tumšās pūcītes monitoringa metodika</w:t>
      </w:r>
    </w:p>
    <w:p w14:paraId="3407E56F" w14:textId="77777777" w:rsidR="00DE7A2A" w:rsidRPr="00DE7A2A" w:rsidRDefault="00F70753" w:rsidP="00DE7A2A">
      <w:pPr>
        <w:pStyle w:val="Heading1"/>
        <w:rPr>
          <w:smallCaps/>
          <w:sz w:val="24"/>
          <w:lang w:val="lv-LV"/>
        </w:rPr>
      </w:pPr>
      <w:r>
        <w:rPr>
          <w:smallCaps/>
          <w:sz w:val="24"/>
          <w:lang w:val="lv-LV"/>
        </w:rPr>
        <w:t xml:space="preserve">8. </w:t>
      </w:r>
      <w:r w:rsidR="00DE7A2A" w:rsidRPr="00DE7A2A">
        <w:rPr>
          <w:smallCaps/>
          <w:sz w:val="24"/>
          <w:lang w:val="lv-LV"/>
        </w:rPr>
        <w:t>Saproksīlo vaboļu monitoringa metodika</w:t>
      </w:r>
    </w:p>
    <w:p w14:paraId="2DF9A586" w14:textId="77777777" w:rsidR="00DE7A2A" w:rsidRPr="00DE7A2A" w:rsidRDefault="00F70753" w:rsidP="00DE7A2A">
      <w:pPr>
        <w:pStyle w:val="Heading1"/>
        <w:rPr>
          <w:smallCaps/>
          <w:sz w:val="24"/>
          <w:lang w:val="lv-LV"/>
        </w:rPr>
      </w:pPr>
      <w:r>
        <w:rPr>
          <w:smallCaps/>
          <w:sz w:val="24"/>
          <w:lang w:val="lv-LV"/>
        </w:rPr>
        <w:t xml:space="preserve">9. </w:t>
      </w:r>
      <w:r w:rsidR="00DE7A2A" w:rsidRPr="00DE7A2A">
        <w:rPr>
          <w:smallCaps/>
          <w:sz w:val="24"/>
          <w:lang w:val="lv-LV"/>
        </w:rPr>
        <w:t>Vēžu monitoringa metodika</w:t>
      </w:r>
    </w:p>
    <w:p w14:paraId="5D4FC31F" w14:textId="77777777" w:rsidR="00DE7A2A" w:rsidRPr="00DE7A2A" w:rsidRDefault="00F70753" w:rsidP="00DE7A2A">
      <w:pPr>
        <w:pStyle w:val="Heading1"/>
        <w:rPr>
          <w:smallCaps/>
          <w:sz w:val="24"/>
          <w:lang w:val="lv-LV"/>
        </w:rPr>
      </w:pPr>
      <w:r>
        <w:rPr>
          <w:smallCaps/>
          <w:sz w:val="24"/>
          <w:lang w:val="lv-LV"/>
        </w:rPr>
        <w:t xml:space="preserve">10. </w:t>
      </w:r>
      <w:r w:rsidR="00DE7A2A" w:rsidRPr="00DE7A2A">
        <w:rPr>
          <w:smallCaps/>
          <w:sz w:val="24"/>
          <w:lang w:val="lv-LV"/>
        </w:rPr>
        <w:t>Medicīniskās dēles monitoringa metodika</w:t>
      </w:r>
    </w:p>
    <w:p w14:paraId="57FD5400" w14:textId="77777777" w:rsidR="006404A3" w:rsidRPr="00DE7A2A" w:rsidRDefault="006404A3" w:rsidP="00DE7A2A">
      <w:pPr>
        <w:pStyle w:val="Heading1"/>
        <w:rPr>
          <w:smallCaps/>
          <w:szCs w:val="28"/>
          <w:lang w:val="lv-LV" w:eastAsia="zh-CN"/>
        </w:rPr>
      </w:pPr>
    </w:p>
    <w:p w14:paraId="2C8C78BD" w14:textId="77777777" w:rsidR="00602394" w:rsidRDefault="00602394">
      <w:r>
        <w:br w:type="page"/>
      </w:r>
    </w:p>
    <w:p w14:paraId="2400C45A" w14:textId="77777777" w:rsidR="00602394" w:rsidRPr="00AC11F5" w:rsidRDefault="00602394" w:rsidP="00F70753">
      <w:pPr>
        <w:rPr>
          <w:rFonts w:ascii="Times New Roman" w:hAnsi="Times New Roman" w:cs="Times New Roman"/>
          <w:b/>
          <w:color w:val="4472C4" w:themeColor="accent1"/>
          <w:sz w:val="24"/>
        </w:rPr>
      </w:pPr>
      <w:r w:rsidRPr="00AC11F5">
        <w:rPr>
          <w:rFonts w:ascii="Times New Roman" w:hAnsi="Times New Roman" w:cs="Times New Roman"/>
          <w:b/>
          <w:color w:val="4472C4" w:themeColor="accent1"/>
          <w:sz w:val="24"/>
        </w:rPr>
        <w:lastRenderedPageBreak/>
        <w:t>IEVADS</w:t>
      </w:r>
    </w:p>
    <w:p w14:paraId="4C79746E" w14:textId="77777777" w:rsidR="00602394" w:rsidRDefault="00602394" w:rsidP="00602394">
      <w:pPr>
        <w:pStyle w:val="BodyText"/>
      </w:pPr>
      <w:r>
        <w:t xml:space="preserve">Natura 2000 teritoriju bezmugurkaulnieku monitorings ir Natura 2000 teritoriju monitoringa programmas sastāvdaļa, kas tiek realizēta bioloģiskās daudzveidības monitoringa ietvaros. Tā mērķis ir iegūt informāciju par Biotopu direktīvas (European Commision 1996) II pielikuma bezmugurkaulnieku sugām gan konkrētu Natura 2000 teritoriju, gan visa Natura 2000 teritoriju tīkla kontekstā. Monitoringa rezultāti ir nepieciešami regulārai Natura 2000 teritoriju datubāzes aktualizēšanai un ziņojumu sagatavošanai Eiropas Komisijai par Biotopu direktīvas sugu aizsardzības stāvokli Latvijā. Svarīgākie jautājumi, uz kuriem monitoringam ir jāsniedz atbildes, ir monitorējamo sugu populācijas lieluma un tām raksturīgo biotopu kvalitātes novērtējumi. </w:t>
      </w:r>
    </w:p>
    <w:p w14:paraId="6A748197" w14:textId="77777777" w:rsidR="00602394" w:rsidRDefault="00602394" w:rsidP="00602394">
      <w:pPr>
        <w:pStyle w:val="BodyText"/>
      </w:pPr>
    </w:p>
    <w:p w14:paraId="129C71B3" w14:textId="5D72ECF0" w:rsidR="00602394" w:rsidRDefault="00602394" w:rsidP="00602394">
      <w:pPr>
        <w:pStyle w:val="BodyText"/>
      </w:pPr>
      <w:r>
        <w:t>Bezmugurkaulnieku monitoringa metodikas Natura 2000 teritorijās aktualizētā versija balstās uz līdz šim veiktajām bezmugurkaulnieku monitoringa aktivitātēm Natura 2000 teritorijās (</w:t>
      </w:r>
      <w:r>
        <w:rPr>
          <w:rFonts w:cstheme="minorHAnsi"/>
        </w:rPr>
        <w:t>projekts “Bezmugurkaulnieku monitorings Natura 2000 vietās laika posmā 2008-2012”</w:t>
      </w:r>
      <w:r>
        <w:t xml:space="preserve"> un bezmugurkaulnieku monitorings Natura 2000 teritorijās, kas tiek īstenots no 2013</w:t>
      </w:r>
      <w:r w:rsidR="00D631B0">
        <w:t>.</w:t>
      </w:r>
      <w:r>
        <w:t xml:space="preserve"> līdz 2020</w:t>
      </w:r>
      <w:r w:rsidR="00D631B0">
        <w:t>.</w:t>
      </w:r>
      <w:r>
        <w:t xml:space="preserve"> gadam) un šo monitoringa veikšanai izstrādātām metodikām (Opermanis, Auniņš 2007, Vilks red. 2013). </w:t>
      </w:r>
    </w:p>
    <w:p w14:paraId="16C28C76" w14:textId="77777777" w:rsidR="00602394" w:rsidRDefault="00602394" w:rsidP="00602394">
      <w:pPr>
        <w:pStyle w:val="BodyText"/>
      </w:pPr>
    </w:p>
    <w:p w14:paraId="409359B1" w14:textId="337B713C" w:rsidR="00602394" w:rsidRDefault="00602394" w:rsidP="00602394">
      <w:pPr>
        <w:pStyle w:val="BodyText"/>
      </w:pPr>
      <w:r>
        <w:t>Veicot pašlaik izmantojamās monitoringa metodikas (Vilks red. 2013) aktualizēšanu, jaunās redakcijas pamatā tika izmantota līdz šim izmantotā metodika, kas lielā mērā nodrošina monitoringa datu salīdzināmību visā</w:t>
      </w:r>
      <w:r w:rsidR="0041372C">
        <w:t xml:space="preserve"> līdz šim īstenotā</w:t>
      </w:r>
      <w:r>
        <w:t xml:space="preserve"> monitoringa aktivitāšu </w:t>
      </w:r>
      <w:r w:rsidR="0041372C">
        <w:t>ciklā</w:t>
      </w:r>
      <w:r>
        <w:t xml:space="preserve">, no 2008 līdz </w:t>
      </w:r>
      <w:bookmarkStart w:id="0" w:name="_GoBack"/>
      <w:r>
        <w:t>20</w:t>
      </w:r>
      <w:r w:rsidR="0041372C">
        <w:t>20</w:t>
      </w:r>
      <w:r>
        <w:t>.</w:t>
      </w:r>
      <w:bookmarkEnd w:id="0"/>
      <w:r>
        <w:t xml:space="preserve"> gadam</w:t>
      </w:r>
      <w:r w:rsidR="0041372C">
        <w:t>, un turpmākās uzskaitēs.</w:t>
      </w:r>
      <w:r>
        <w:t xml:space="preserve"> Metodikas izmaiņas ir saistītas ar pieaugošām zināšanām par monitorējamām sugām un to apdzīvotiem biotopiem, uzskaites metodēm un datu apstrādes iespējām. Zināšanu pilnveidošanās ir process, kas pastavīgi norisinās tajā skaitā sugu un to grupu pētījumu, dzīvotņu inventarizācijas un monitoringa aktivitāšu rezultātā. Šī apsvēruma dēļ monitoringa metodika ir regulāri jāpārskata un jāpielāgo aktuālajam zināšanu līmenim. Būtisks informācijas pieaugums, kas ļauj precīzāk atlasīt sugām piemērotas dzīvotnes, ir projekta “</w:t>
      </w:r>
      <w:r w:rsidRPr="00FF47A4">
        <w:t>Priekšnosacījumu izveide labākai bioloģiskās daudzveidības saglabāšanai un ekosistēmu aizsardzībai Latvijā</w:t>
      </w:r>
      <w:r>
        <w:t xml:space="preserve">” </w:t>
      </w:r>
      <w:r w:rsidR="00D631B0">
        <w:t xml:space="preserve">jeb “Dabas skaitīšana” </w:t>
      </w:r>
      <w:r>
        <w:t xml:space="preserve">realizācijas laikā no 2017. līdz 2020. gadam iegūtie dati. Papildus dati par monitoringa programmā iekļauto sugu sastopamību tiek reģistrēti </w:t>
      </w:r>
      <w:r w:rsidR="00D631B0">
        <w:t xml:space="preserve">dabas </w:t>
      </w:r>
      <w:r>
        <w:t>aizsardzības plānu izstrādes rezultātā. Datu uzkrāšanās notiek arī sabiedriskā monitoringa programmu īstenošanas rezultātā.</w:t>
      </w:r>
    </w:p>
    <w:p w14:paraId="6FE4B86F" w14:textId="117DAAE6" w:rsidR="00602394" w:rsidRDefault="00602394" w:rsidP="00602394">
      <w:pPr>
        <w:pStyle w:val="BodyText"/>
      </w:pPr>
      <w:r>
        <w:t xml:space="preserve">Aktualizētajā metodikā ir  pilnveidoti monitorējamo vietu izvēles principi, atlasē plaši pielietojot </w:t>
      </w:r>
      <w:r w:rsidR="00D631B0">
        <w:t xml:space="preserve">projekta </w:t>
      </w:r>
      <w:r>
        <w:t>“Dabas skaitīšanas”</w:t>
      </w:r>
      <w:r w:rsidR="00D631B0">
        <w:t xml:space="preserve"> iegūtos </w:t>
      </w:r>
      <w:r>
        <w:t>datus, kas turpmāk ļaus iegūt precīzākus datus par monitoringa mērķsugām piemēroto biotopu īpatsvaru un izvietojumu Natura 2000 teritorijās. Datu precizēšana turpmāk ļaus izvairīties no sugu monitoringa īstenošanas teritorijās</w:t>
      </w:r>
      <w:r w:rsidR="00D631B0">
        <w:t>,</w:t>
      </w:r>
      <w:r>
        <w:t xml:space="preserve"> kur tām nav piemērotu dzīvotņu. </w:t>
      </w:r>
    </w:p>
    <w:p w14:paraId="34847210" w14:textId="77777777" w:rsidR="00602394" w:rsidRDefault="00602394" w:rsidP="00602394">
      <w:pPr>
        <w:pStyle w:val="BodyText"/>
      </w:pPr>
    </w:p>
    <w:p w14:paraId="58188D7A" w14:textId="21B3D9B3" w:rsidR="00602394" w:rsidRDefault="00602394" w:rsidP="00602394">
      <w:pPr>
        <w:pStyle w:val="BodyText"/>
      </w:pPr>
      <w:r>
        <w:t xml:space="preserve">Monitoringa metodikā ir pilnveidota pieeja sugu populāciju lieluma aprēķinam, balstoties uz GIS programatūras sniegtajām iespējām un statistisko datu apstrādi. </w:t>
      </w:r>
    </w:p>
    <w:p w14:paraId="40F86DF7" w14:textId="77777777" w:rsidR="00602394" w:rsidRDefault="00602394" w:rsidP="00602394">
      <w:pPr>
        <w:pStyle w:val="BodyText"/>
      </w:pPr>
    </w:p>
    <w:p w14:paraId="159F851C" w14:textId="77777777" w:rsidR="00602394" w:rsidRDefault="00602394" w:rsidP="00602394">
      <w:pPr>
        <w:pStyle w:val="BodyText"/>
      </w:pPr>
      <w:r>
        <w:t xml:space="preserve">Monitoringa metodikā ir iekļautas arī ļoti retas un maz pētītas sugas Latvijā, piemēram </w:t>
      </w:r>
      <w:r w:rsidRPr="00A3764B">
        <w:rPr>
          <w:i/>
        </w:rPr>
        <w:t>Phryganophilus ruficollis</w:t>
      </w:r>
      <w:r>
        <w:t>,  šādu sugu monitoringa metodikas pilnveidošanai ir nepieciešami papildus pētījumi. Ņemot vērā, ka atjaunotā metodika līdz šim nav aprobēta lauka darbos, vai datu analīzē, pēc pirmās monitoringa īstenošanas sezonas ir nepieciešams izvērtēt uzskaites vienību atlases precizitāti, uzskaites metožu efektivitāti un datu analīzes metožu atbilstību iegūtajai datu kopai. Gadījumā, ja metodikas aprobācijas rezultātā būs nepieciešami precizējumi, tie ir jāiekļauj metodikā.</w:t>
      </w:r>
    </w:p>
    <w:p w14:paraId="23C237A0" w14:textId="77777777" w:rsidR="00602394" w:rsidRPr="00A3764B" w:rsidRDefault="00602394" w:rsidP="00602394">
      <w:pPr>
        <w:pStyle w:val="BodyText"/>
      </w:pPr>
    </w:p>
    <w:p w14:paraId="6CDCAE4B" w14:textId="77777777" w:rsidR="00602394" w:rsidRDefault="00602394" w:rsidP="00602394">
      <w:pPr>
        <w:spacing w:after="0"/>
        <w:jc w:val="both"/>
        <w:rPr>
          <w:rFonts w:ascii="Times New Roman" w:hAnsi="Times New Roman" w:cs="Times New Roman"/>
          <w:color w:val="000000" w:themeColor="text1"/>
          <w:sz w:val="24"/>
          <w:szCs w:val="24"/>
          <w:lang w:val="lv-LV"/>
        </w:rPr>
      </w:pPr>
      <w:r w:rsidRPr="00B67229">
        <w:rPr>
          <w:rFonts w:ascii="Times New Roman" w:hAnsi="Times New Roman" w:cs="Times New Roman"/>
          <w:color w:val="000000" w:themeColor="text1"/>
          <w:sz w:val="24"/>
          <w:szCs w:val="24"/>
          <w:lang w:val="lv-LV"/>
        </w:rPr>
        <w:lastRenderedPageBreak/>
        <w:t xml:space="preserve">Aktualizējot monitoringa metodiku tika mainīta tās sākotnējā struktūra, apkopojot visu monitoringa īstenošanai nepieciešamo informāciju par atsevišķām sugām, vai ekoloģiski tuvu sugu grupām speciālās monitoringa metodikās. Kopumā atjaunotā bezmugurkaulnieku monitoringa metodikā ir 10 atsevišķas metodikas, tajā skaitā: ūdensvaboļu, pumpurgliemežu, gliemeņu, spāru, dienas tauriņu, saproksīlo vaboļu, vēžu, medicīniskās dēles, tumšās pūcītes un dobumu māņskorpiona. </w:t>
      </w:r>
      <w:r w:rsidRPr="00A30F5A">
        <w:rPr>
          <w:rFonts w:ascii="Times New Roman" w:hAnsi="Times New Roman" w:cs="Times New Roman"/>
          <w:color w:val="000000" w:themeColor="text1"/>
          <w:sz w:val="24"/>
          <w:szCs w:val="24"/>
          <w:lang w:val="lv-LV"/>
        </w:rPr>
        <w:t>Katrā atsevišķā metodikā ir sekojošas sadaļas: monitorejamo sugu</w:t>
      </w:r>
      <w:r w:rsidRPr="00B67229">
        <w:rPr>
          <w:rFonts w:ascii="Times New Roman" w:hAnsi="Times New Roman" w:cs="Times New Roman"/>
          <w:color w:val="000000" w:themeColor="text1"/>
          <w:sz w:val="24"/>
          <w:szCs w:val="24"/>
          <w:lang w:val="lv-LV"/>
        </w:rPr>
        <w:t xml:space="preserve"> </w:t>
      </w:r>
      <w:r w:rsidRPr="006B5037">
        <w:rPr>
          <w:rFonts w:ascii="Times New Roman" w:hAnsi="Times New Roman" w:cs="Times New Roman"/>
          <w:color w:val="000000" w:themeColor="text1"/>
          <w:sz w:val="24"/>
          <w:szCs w:val="24"/>
          <w:lang w:val="lv-LV"/>
        </w:rPr>
        <w:t xml:space="preserve">saraksts, monitorējamo sugu uzskaites vietu atlases principi (iekļaujot īso sugas sastopamībai optimālo un suboptimālo biotopu raksturojumu), darba veicēju kvalifikācija, monitoringa veikšanai nepieciešamā inventāra saraksts, </w:t>
      </w:r>
      <w:r>
        <w:rPr>
          <w:rFonts w:ascii="Times New Roman" w:hAnsi="Times New Roman" w:cs="Times New Roman"/>
          <w:color w:val="000000" w:themeColor="text1"/>
          <w:sz w:val="24"/>
          <w:szCs w:val="24"/>
          <w:lang w:val="lv-LV"/>
        </w:rPr>
        <w:t>m</w:t>
      </w:r>
      <w:r w:rsidRPr="006B5037">
        <w:rPr>
          <w:rFonts w:ascii="Times New Roman" w:hAnsi="Times New Roman" w:cs="Times New Roman"/>
          <w:color w:val="000000" w:themeColor="text1"/>
          <w:sz w:val="24"/>
          <w:szCs w:val="24"/>
          <w:lang w:val="lv-LV"/>
        </w:rPr>
        <w:t xml:space="preserve">onitoringa uzskaišu kalendārais plānojums, </w:t>
      </w:r>
      <w:r>
        <w:rPr>
          <w:rFonts w:ascii="Times New Roman" w:hAnsi="Times New Roman" w:cs="Times New Roman"/>
          <w:color w:val="000000" w:themeColor="text1"/>
          <w:sz w:val="24"/>
          <w:szCs w:val="24"/>
          <w:lang w:val="lv-LV"/>
        </w:rPr>
        <w:t>l</w:t>
      </w:r>
      <w:r w:rsidRPr="006B5037">
        <w:rPr>
          <w:rFonts w:ascii="Times New Roman" w:hAnsi="Times New Roman" w:cs="Times New Roman"/>
          <w:color w:val="000000" w:themeColor="text1"/>
          <w:sz w:val="24"/>
          <w:szCs w:val="24"/>
          <w:lang w:val="lv-LV"/>
        </w:rPr>
        <w:t>aikapstākļi monitoringa uzskaišu veikšanai</w:t>
      </w:r>
      <w:r>
        <w:rPr>
          <w:rFonts w:ascii="Times New Roman" w:hAnsi="Times New Roman" w:cs="Times New Roman"/>
          <w:color w:val="000000" w:themeColor="text1"/>
          <w:sz w:val="24"/>
          <w:szCs w:val="24"/>
          <w:lang w:val="lv-LV"/>
        </w:rPr>
        <w:t>,</w:t>
      </w:r>
      <w:r w:rsidRPr="006B5037">
        <w:rPr>
          <w:rFonts w:ascii="Times New Roman" w:hAnsi="Times New Roman" w:cs="Times New Roman"/>
          <w:color w:val="000000" w:themeColor="text1"/>
          <w:sz w:val="24"/>
          <w:szCs w:val="24"/>
          <w:lang w:val="lv-LV"/>
        </w:rPr>
        <w:t xml:space="preserve"> monitoringa uzskaišu lauka darb</w:t>
      </w:r>
      <w:r>
        <w:rPr>
          <w:rFonts w:ascii="Times New Roman" w:hAnsi="Times New Roman" w:cs="Times New Roman"/>
          <w:color w:val="000000" w:themeColor="text1"/>
          <w:sz w:val="24"/>
          <w:szCs w:val="24"/>
          <w:lang w:val="lv-LV"/>
        </w:rPr>
        <w:t>u gaitas raksturojums, lauka datu formas aizpildīšanas instrukcija, datu apstrādes metožu apkopojums un izmantotās literatūras saraksts.</w:t>
      </w:r>
    </w:p>
    <w:p w14:paraId="691763C9" w14:textId="77777777" w:rsidR="00602394" w:rsidRDefault="00602394" w:rsidP="00602394">
      <w:pPr>
        <w:spacing w:after="0"/>
        <w:jc w:val="both"/>
        <w:rPr>
          <w:rFonts w:ascii="Times New Roman" w:hAnsi="Times New Roman" w:cs="Times New Roman"/>
          <w:color w:val="000000" w:themeColor="text1"/>
          <w:sz w:val="24"/>
          <w:szCs w:val="24"/>
          <w:lang w:val="lv-LV"/>
        </w:rPr>
      </w:pPr>
    </w:p>
    <w:p w14:paraId="415C0FA1" w14:textId="77777777" w:rsidR="00602394" w:rsidRPr="00B67229" w:rsidRDefault="00602394" w:rsidP="00602394">
      <w:pPr>
        <w:spacing w:after="0"/>
        <w:jc w:val="both"/>
        <w:rPr>
          <w:rFonts w:ascii="Times New Roman" w:hAnsi="Times New Roman" w:cs="Times New Roman"/>
          <w:sz w:val="24"/>
          <w:lang w:val="lv-LV"/>
        </w:rPr>
      </w:pPr>
      <w:r w:rsidRPr="00A30F5A">
        <w:rPr>
          <w:rFonts w:ascii="Times New Roman" w:hAnsi="Times New Roman" w:cs="Times New Roman"/>
          <w:sz w:val="24"/>
          <w:lang w:val="lv-LV"/>
        </w:rPr>
        <w:t xml:space="preserve">Monitoringa metodikas aktualizāciju veica Daugavpils Universitāte Dabas aizsardzības pārvaldes publiskā iepirkuma </w:t>
      </w:r>
      <w:r w:rsidRPr="00A30F5A">
        <w:rPr>
          <w:rFonts w:ascii="Times New Roman" w:hAnsi="Times New Roman" w:cs="Times New Roman"/>
          <w:bCs/>
          <w:sz w:val="24"/>
          <w:lang w:val="lv-LV"/>
        </w:rPr>
        <w:t>“</w:t>
      </w:r>
      <w:r w:rsidRPr="00A30F5A">
        <w:rPr>
          <w:rFonts w:ascii="Times New Roman" w:hAnsi="Times New Roman" w:cs="Times New Roman"/>
          <w:sz w:val="24"/>
          <w:lang w:val="lv-LV"/>
        </w:rPr>
        <w:t>Bezmugurkaulnieku monitoringa metodikas Natura 2000 teritorijās aktualizācija</w:t>
      </w:r>
      <w:r w:rsidRPr="00A30F5A">
        <w:rPr>
          <w:rFonts w:ascii="Times New Roman" w:hAnsi="Times New Roman" w:cs="Times New Roman"/>
          <w:bCs/>
          <w:sz w:val="24"/>
          <w:lang w:val="lv-LV"/>
        </w:rPr>
        <w:t>” ietvaros.</w:t>
      </w:r>
      <w:r>
        <w:rPr>
          <w:rFonts w:ascii="Times New Roman" w:hAnsi="Times New Roman" w:cs="Times New Roman"/>
          <w:bCs/>
          <w:sz w:val="24"/>
          <w:lang w:val="lv-LV"/>
        </w:rPr>
        <w:t xml:space="preserve"> Monitoringa metodikas aktualizācija tika balstīta uz bezmugurkaulnieku monitoringa programmā iesaistīto ekspertu viedokļiem un ierosinājumiem. Monitoringa metodikas aktualizācijas laikā notika vairākas ekspertu sanāksmes, kurās ieteikumus monitoringa metodikas aktualizācijai sniedza </w:t>
      </w:r>
      <w:r w:rsidRPr="00A30F5A">
        <w:rPr>
          <w:rFonts w:ascii="Times New Roman" w:hAnsi="Times New Roman" w:cs="Times New Roman"/>
          <w:sz w:val="24"/>
          <w:lang w:val="lv-LV"/>
        </w:rPr>
        <w:t>šādi eksperti</w:t>
      </w:r>
      <w:r>
        <w:rPr>
          <w:rFonts w:ascii="Times New Roman" w:hAnsi="Times New Roman" w:cs="Times New Roman"/>
          <w:sz w:val="24"/>
          <w:lang w:val="lv-LV"/>
        </w:rPr>
        <w:t xml:space="preserve">: Maksims Balalaikins (metodikas redaktors), Māris Nitcis (GIS datu apstrāde un uzskaites vienību atlase), Iveta Jakubāne, Uldis Valainis, Kristīna Aksjuta (Daugavpils Universitāte), </w:t>
      </w:r>
      <w:r w:rsidRPr="00A30F5A">
        <w:rPr>
          <w:rFonts w:ascii="Times New Roman" w:hAnsi="Times New Roman" w:cs="Times New Roman"/>
          <w:sz w:val="24"/>
          <w:lang w:val="lv-LV"/>
        </w:rPr>
        <w:t>Kristaps Vilks (Latvijas Universitātes Bioloģijas fakultāte &amp; Latvijas Entomoloģijas biedrība</w:t>
      </w:r>
      <w:r>
        <w:rPr>
          <w:rFonts w:ascii="Times New Roman" w:hAnsi="Times New Roman" w:cs="Times New Roman"/>
          <w:sz w:val="24"/>
          <w:lang w:val="lv-LV"/>
        </w:rPr>
        <w:t xml:space="preserve">), </w:t>
      </w:r>
      <w:r w:rsidRPr="00B67229">
        <w:rPr>
          <w:rFonts w:ascii="Times New Roman" w:hAnsi="Times New Roman" w:cs="Times New Roman"/>
          <w:sz w:val="24"/>
          <w:lang w:val="lv-LV"/>
        </w:rPr>
        <w:t xml:space="preserve">Mārtiņš Kalniņš (Biedrība "Zaļā upe", Daugavpils Universitāte), Digna Pilāte </w:t>
      </w:r>
      <w:r w:rsidRPr="00B67229">
        <w:rPr>
          <w:rFonts w:ascii="Times New Roman" w:hAnsi="Times New Roman" w:cs="Times New Roman"/>
          <w:sz w:val="24"/>
          <w:szCs w:val="24"/>
          <w:lang w:val="lv-LV"/>
        </w:rPr>
        <w:t>(</w:t>
      </w:r>
      <w:r w:rsidRPr="00B67229">
        <w:rPr>
          <w:rFonts w:ascii="Times New Roman" w:hAnsi="Times New Roman" w:cs="Times New Roman"/>
          <w:sz w:val="24"/>
          <w:szCs w:val="24"/>
          <w:shd w:val="clear" w:color="auto" w:fill="FFFFFF"/>
          <w:lang w:val="lv-LV"/>
        </w:rPr>
        <w:t>LVMI </w:t>
      </w:r>
      <w:r w:rsidRPr="00B67229">
        <w:rPr>
          <w:rStyle w:val="Emphasis"/>
          <w:rFonts w:ascii="Times New Roman" w:hAnsi="Times New Roman" w:cs="Times New Roman"/>
          <w:bCs/>
          <w:sz w:val="24"/>
          <w:szCs w:val="24"/>
          <w:shd w:val="clear" w:color="auto" w:fill="FFFFFF"/>
          <w:lang w:val="lv-LV"/>
        </w:rPr>
        <w:t>Silava</w:t>
      </w:r>
      <w:r w:rsidRPr="00B67229">
        <w:rPr>
          <w:rFonts w:ascii="Times New Roman" w:hAnsi="Times New Roman" w:cs="Times New Roman"/>
          <w:sz w:val="24"/>
          <w:szCs w:val="24"/>
          <w:lang w:val="lv-LV"/>
        </w:rPr>
        <w:t xml:space="preserve">), </w:t>
      </w:r>
      <w:r w:rsidRPr="00A204A0">
        <w:rPr>
          <w:rFonts w:ascii="Times New Roman" w:hAnsi="Times New Roman" w:cs="Times New Roman"/>
          <w:sz w:val="24"/>
          <w:lang w:val="lv-LV"/>
        </w:rPr>
        <w:t xml:space="preserve">Māris Rudzītis, Mudīte Rudzīte </w:t>
      </w:r>
      <w:r w:rsidRPr="00A204A0">
        <w:rPr>
          <w:rFonts w:ascii="Times New Roman" w:hAnsi="Times New Roman" w:cs="Times New Roman"/>
          <w:sz w:val="24"/>
          <w:szCs w:val="24"/>
          <w:lang w:val="lv-LV"/>
        </w:rPr>
        <w:t>(</w:t>
      </w:r>
      <w:r w:rsidRPr="00A204A0">
        <w:rPr>
          <w:rFonts w:ascii="Times New Roman" w:hAnsi="Times New Roman" w:cs="Times New Roman"/>
          <w:color w:val="222222"/>
          <w:sz w:val="24"/>
          <w:szCs w:val="24"/>
          <w:shd w:val="clear" w:color="auto" w:fill="FFFFFF"/>
          <w:lang w:val="lv-LV"/>
        </w:rPr>
        <w:t>Malakologu biedrība)</w:t>
      </w:r>
      <w:r w:rsidRPr="00A204A0">
        <w:rPr>
          <w:rFonts w:ascii="Times New Roman" w:hAnsi="Times New Roman" w:cs="Times New Roman"/>
          <w:sz w:val="24"/>
          <w:szCs w:val="24"/>
          <w:lang w:val="lv-LV"/>
        </w:rPr>
        <w:t xml:space="preserve">, </w:t>
      </w:r>
      <w:r w:rsidRPr="00A204A0">
        <w:rPr>
          <w:rFonts w:ascii="Times New Roman" w:hAnsi="Times New Roman" w:cs="Times New Roman"/>
          <w:sz w:val="24"/>
          <w:lang w:val="lv-LV"/>
        </w:rPr>
        <w:t>Voldemārs</w:t>
      </w:r>
      <w:r w:rsidRPr="00A30F5A">
        <w:rPr>
          <w:rFonts w:ascii="Times New Roman" w:hAnsi="Times New Roman" w:cs="Times New Roman"/>
          <w:sz w:val="24"/>
          <w:lang w:val="lv-LV"/>
        </w:rPr>
        <w:t xml:space="preserve"> Spuņģis (Latvijas Universitātes Bioloģijas fakultāte &amp; Latvijas Entomoloģijas biedrība</w:t>
      </w:r>
      <w:r>
        <w:rPr>
          <w:rFonts w:ascii="Times New Roman" w:hAnsi="Times New Roman" w:cs="Times New Roman"/>
          <w:sz w:val="24"/>
          <w:lang w:val="lv-LV"/>
        </w:rPr>
        <w:t xml:space="preserve">), Dmitrijs Teļnovs </w:t>
      </w:r>
      <w:r w:rsidRPr="00B67229">
        <w:rPr>
          <w:rFonts w:ascii="Times New Roman" w:hAnsi="Times New Roman" w:cs="Times New Roman"/>
          <w:sz w:val="24"/>
          <w:szCs w:val="24"/>
          <w:lang w:val="lv-LV"/>
        </w:rPr>
        <w:t>(</w:t>
      </w:r>
      <w:r w:rsidRPr="00B67229">
        <w:rPr>
          <w:rFonts w:ascii="Times New Roman" w:hAnsi="Times New Roman" w:cs="Times New Roman"/>
          <w:color w:val="222222"/>
          <w:sz w:val="24"/>
          <w:szCs w:val="24"/>
          <w:shd w:val="clear" w:color="auto" w:fill="FFFFFF"/>
          <w:lang w:val="lv-LV"/>
        </w:rPr>
        <w:t>Natural History Museum, London, United Kingdom).</w:t>
      </w:r>
    </w:p>
    <w:p w14:paraId="03D065C3" w14:textId="77777777" w:rsidR="00602394" w:rsidRPr="00D70DAE" w:rsidRDefault="00602394" w:rsidP="00602394">
      <w:pPr>
        <w:rPr>
          <w:rFonts w:ascii="Times New Roman" w:hAnsi="Times New Roman" w:cs="Times New Roman"/>
          <w:b/>
          <w:sz w:val="24"/>
          <w:lang w:val="lv-LV"/>
        </w:rPr>
      </w:pPr>
    </w:p>
    <w:p w14:paraId="6CDCAE3F" w14:textId="77777777" w:rsidR="004915BA" w:rsidRPr="0041372C" w:rsidRDefault="004915BA">
      <w:pPr>
        <w:rPr>
          <w:lang w:val="lv-LV"/>
        </w:rPr>
      </w:pPr>
    </w:p>
    <w:sectPr w:rsidR="004915BA" w:rsidRPr="004137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04A3"/>
    <w:rsid w:val="00341090"/>
    <w:rsid w:val="0041372C"/>
    <w:rsid w:val="004915BA"/>
    <w:rsid w:val="00602394"/>
    <w:rsid w:val="006404A3"/>
    <w:rsid w:val="00864950"/>
    <w:rsid w:val="00D631B0"/>
    <w:rsid w:val="00DE7A2A"/>
    <w:rsid w:val="00E54F69"/>
    <w:rsid w:val="00F70753"/>
    <w:rsid w:val="00FB04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F3996A"/>
  <w15:chartTrackingRefBased/>
  <w15:docId w15:val="{A6C161AC-6129-411B-8144-B97280AB8F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04A3"/>
    <w:rPr>
      <w:lang w:val="en-US"/>
    </w:rPr>
  </w:style>
  <w:style w:type="paragraph" w:styleId="Heading1">
    <w:name w:val="heading 1"/>
    <w:basedOn w:val="Normal"/>
    <w:next w:val="Normal"/>
    <w:link w:val="Heading1Char"/>
    <w:uiPriority w:val="9"/>
    <w:qFormat/>
    <w:rsid w:val="00DE7A2A"/>
    <w:pPr>
      <w:keepNext/>
      <w:keepLines/>
      <w:spacing w:before="240" w:after="0"/>
      <w:outlineLvl w:val="0"/>
    </w:pPr>
    <w:rPr>
      <w:rFonts w:ascii="Times New Roman" w:eastAsiaTheme="majorEastAsia" w:hAnsi="Times New Roman" w:cstheme="majorBidi"/>
      <w:b/>
      <w:color w:val="2F5496" w:themeColor="accent1" w:themeShade="BF"/>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4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DE7A2A"/>
    <w:rPr>
      <w:rFonts w:ascii="Times New Roman" w:eastAsiaTheme="majorEastAsia" w:hAnsi="Times New Roman" w:cstheme="majorBidi"/>
      <w:b/>
      <w:color w:val="2F5496" w:themeColor="accent1" w:themeShade="BF"/>
      <w:sz w:val="28"/>
      <w:szCs w:val="32"/>
      <w:lang w:val="en-US"/>
    </w:rPr>
  </w:style>
  <w:style w:type="paragraph" w:styleId="BodyText">
    <w:name w:val="Body Text"/>
    <w:basedOn w:val="Normal"/>
    <w:link w:val="BodyTextChar"/>
    <w:rsid w:val="00602394"/>
    <w:pPr>
      <w:spacing w:after="0" w:line="240" w:lineRule="auto"/>
      <w:jc w:val="both"/>
    </w:pPr>
    <w:rPr>
      <w:rFonts w:ascii="Times New Roman" w:eastAsia="Times New Roman" w:hAnsi="Times New Roman" w:cs="Times New Roman"/>
      <w:sz w:val="24"/>
      <w:szCs w:val="24"/>
      <w:lang w:val="lv-LV" w:eastAsia="lv-LV"/>
    </w:rPr>
  </w:style>
  <w:style w:type="character" w:customStyle="1" w:styleId="BodyTextChar">
    <w:name w:val="Body Text Char"/>
    <w:basedOn w:val="DefaultParagraphFont"/>
    <w:link w:val="BodyText"/>
    <w:rsid w:val="00602394"/>
    <w:rPr>
      <w:rFonts w:ascii="Times New Roman" w:eastAsia="Times New Roman" w:hAnsi="Times New Roman" w:cs="Times New Roman"/>
      <w:sz w:val="24"/>
      <w:szCs w:val="24"/>
      <w:lang w:val="lv-LV" w:eastAsia="lv-LV"/>
    </w:rPr>
  </w:style>
  <w:style w:type="character" w:styleId="Emphasis">
    <w:name w:val="Emphasis"/>
    <w:basedOn w:val="DefaultParagraphFont"/>
    <w:uiPriority w:val="20"/>
    <w:qFormat/>
    <w:rsid w:val="00602394"/>
    <w:rPr>
      <w:i/>
      <w:iCs/>
    </w:rPr>
  </w:style>
  <w:style w:type="character" w:styleId="CommentReference">
    <w:name w:val="annotation reference"/>
    <w:basedOn w:val="DefaultParagraphFont"/>
    <w:uiPriority w:val="99"/>
    <w:semiHidden/>
    <w:unhideWhenUsed/>
    <w:rsid w:val="00D631B0"/>
    <w:rPr>
      <w:sz w:val="16"/>
      <w:szCs w:val="16"/>
    </w:rPr>
  </w:style>
  <w:style w:type="paragraph" w:styleId="CommentText">
    <w:name w:val="annotation text"/>
    <w:basedOn w:val="Normal"/>
    <w:link w:val="CommentTextChar"/>
    <w:uiPriority w:val="99"/>
    <w:semiHidden/>
    <w:unhideWhenUsed/>
    <w:rsid w:val="00D631B0"/>
    <w:pPr>
      <w:spacing w:line="240" w:lineRule="auto"/>
    </w:pPr>
    <w:rPr>
      <w:sz w:val="20"/>
      <w:szCs w:val="20"/>
    </w:rPr>
  </w:style>
  <w:style w:type="character" w:customStyle="1" w:styleId="CommentTextChar">
    <w:name w:val="Comment Text Char"/>
    <w:basedOn w:val="DefaultParagraphFont"/>
    <w:link w:val="CommentText"/>
    <w:uiPriority w:val="99"/>
    <w:semiHidden/>
    <w:rsid w:val="00D631B0"/>
    <w:rPr>
      <w:sz w:val="20"/>
      <w:szCs w:val="20"/>
      <w:lang w:val="en-US"/>
    </w:rPr>
  </w:style>
  <w:style w:type="paragraph" w:styleId="CommentSubject">
    <w:name w:val="annotation subject"/>
    <w:basedOn w:val="CommentText"/>
    <w:next w:val="CommentText"/>
    <w:link w:val="CommentSubjectChar"/>
    <w:uiPriority w:val="99"/>
    <w:semiHidden/>
    <w:unhideWhenUsed/>
    <w:rsid w:val="00D631B0"/>
    <w:rPr>
      <w:b/>
      <w:bCs/>
    </w:rPr>
  </w:style>
  <w:style w:type="character" w:customStyle="1" w:styleId="CommentSubjectChar">
    <w:name w:val="Comment Subject Char"/>
    <w:basedOn w:val="CommentTextChar"/>
    <w:link w:val="CommentSubject"/>
    <w:uiPriority w:val="99"/>
    <w:semiHidden/>
    <w:rsid w:val="00D631B0"/>
    <w:rPr>
      <w:b/>
      <w:bCs/>
      <w:sz w:val="20"/>
      <w:szCs w:val="20"/>
      <w:lang w:val="en-US"/>
    </w:rPr>
  </w:style>
  <w:style w:type="paragraph" w:styleId="BalloonText">
    <w:name w:val="Balloon Text"/>
    <w:basedOn w:val="Normal"/>
    <w:link w:val="BalloonTextChar"/>
    <w:uiPriority w:val="99"/>
    <w:semiHidden/>
    <w:unhideWhenUsed/>
    <w:rsid w:val="00D631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1B0"/>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965</Words>
  <Characters>5506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Maksims Balalaikins</dc:creator>
  <cp:keywords/>
  <dc:description/>
  <cp:lastModifiedBy>Maksims Balalaikins</cp:lastModifiedBy>
  <cp:revision>3</cp:revision>
  <dcterms:created xsi:type="dcterms:W3CDTF">2020-11-16T14:20:00Z</dcterms:created>
  <dcterms:modified xsi:type="dcterms:W3CDTF">2020-11-18T20:36:00Z</dcterms:modified>
</cp:coreProperties>
</file>